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2" w:rsidRDefault="00C15782" w:rsidP="006E4386">
      <w:pPr>
        <w:pStyle w:val="BagsideOverskrift"/>
      </w:pPr>
      <w:bookmarkStart w:id="0" w:name="_GoBack"/>
      <w:bookmarkEnd w:id="0"/>
    </w:p>
    <w:tbl>
      <w:tblPr>
        <w:tblStyle w:val="Tabel-Gitter"/>
        <w:tblpPr w:vertAnchor="page" w:horzAnchor="page" w:tblpX="852" w:tblpY="567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B22FCF" w:rsidTr="009936A9">
        <w:trPr>
          <w:cantSplit/>
          <w:trHeight w:val="510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</w:tblGrid>
            <w:tr w:rsidR="009936A9" w:rsidTr="009936A9">
              <w:tc>
                <w:tcPr>
                  <w:tcW w:w="4629" w:type="dxa"/>
                </w:tcPr>
                <w:p w:rsidR="009936A9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bookmarkStart w:id="1" w:name="bmkBagsideLogo"/>
                  <w:bookmarkEnd w:id="1"/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447800" cy="733425"/>
                        <wp:effectExtent l="0" t="0" r="0" b="0"/>
                        <wp:docPr id="2" name="Billed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36A9" w:rsidTr="009936A9">
              <w:trPr>
                <w:trHeight w:hRule="exact" w:val="397"/>
              </w:trPr>
              <w:tc>
                <w:tcPr>
                  <w:tcW w:w="4629" w:type="dxa"/>
                </w:tcPr>
                <w:p w:rsidR="009936A9" w:rsidRDefault="009936A9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</w:p>
              </w:tc>
            </w:tr>
            <w:tr w:rsidR="009936A9" w:rsidTr="009936A9">
              <w:tc>
                <w:tcPr>
                  <w:tcW w:w="4629" w:type="dxa"/>
                </w:tcPr>
                <w:p w:rsidR="009936A9" w:rsidRDefault="009936A9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Guldborgsund Kommune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Center for Børn &amp; Læring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Ungdommens Uddannelsesvejledning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Eggertsvej 2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4800 Nykøbing F.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 xml:space="preserve"> 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Tlf 54822403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 xml:space="preserve"> </w:t>
                  </w:r>
                </w:p>
                <w:p w:rsidR="009936A9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www.uuguldborgsund.dk</w:t>
                  </w:r>
                </w:p>
              </w:tc>
            </w:tr>
          </w:tbl>
          <w:p w:rsidR="00B22FCF" w:rsidRDefault="00B22FCF" w:rsidP="009936A9">
            <w:pPr>
              <w:pStyle w:val="Kolofon"/>
            </w:pPr>
          </w:p>
        </w:tc>
      </w:tr>
    </w:tbl>
    <w:tbl>
      <w:tblPr>
        <w:tblStyle w:val="Tabel-Gitter"/>
        <w:tblpPr w:vertAnchor="page" w:horzAnchor="page" w:tblpX="5671" w:tblpY="1051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</w:tblGrid>
      <w:tr w:rsidR="00B22FCF" w:rsidTr="00B612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CF" w:rsidRDefault="00851EC9" w:rsidP="00795E77">
            <w:pPr>
              <w:pStyle w:val="Dato"/>
              <w:jc w:val="right"/>
            </w:pPr>
            <w:r>
              <w:t>26/6-2019</w:t>
            </w:r>
            <w:r w:rsidR="00795E77">
              <w:t xml:space="preserve"> </w:t>
            </w:r>
            <w:r>
              <w:t>Tonni Schlegel-Sørensen</w:t>
            </w:r>
          </w:p>
          <w:p w:rsidR="00795E77" w:rsidRPr="00795E77" w:rsidRDefault="00795E77" w:rsidP="00795E77"/>
        </w:tc>
      </w:tr>
    </w:tbl>
    <w:tbl>
      <w:tblPr>
        <w:tblStyle w:val="Tabel-Gitter"/>
        <w:tblpPr w:vertAnchor="page" w:horzAnchor="page" w:tblpX="11228" w:tblpY="122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</w:tblGrid>
      <w:tr w:rsidR="00A87C78" w:rsidTr="00A34F2B">
        <w:trPr>
          <w:trHeight w:val="1557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D435E" w:rsidRPr="003079B1" w:rsidRDefault="003F7E7D" w:rsidP="003F7E7D">
            <w:pPr>
              <w:pStyle w:val="Forsideoverskrift-Guld"/>
              <w:rPr>
                <w:sz w:val="60"/>
                <w:szCs w:val="60"/>
              </w:rPr>
            </w:pPr>
            <w:r w:rsidRPr="003079B1">
              <w:rPr>
                <w:sz w:val="60"/>
                <w:szCs w:val="60"/>
              </w:rPr>
              <w:t>UU GULDBORGSUND</w:t>
            </w:r>
          </w:p>
          <w:p w:rsidR="00BF19DB" w:rsidRDefault="00BF19DB" w:rsidP="003F7E7D">
            <w:pPr>
              <w:pStyle w:val="Forsideoverskrift-Rd"/>
              <w:rPr>
                <w:sz w:val="60"/>
                <w:szCs w:val="60"/>
              </w:rPr>
            </w:pPr>
          </w:p>
          <w:p w:rsidR="00BB5C68" w:rsidRDefault="003F7E7D" w:rsidP="003F7E7D">
            <w:pPr>
              <w:pStyle w:val="Forsideoverskrift-Rd"/>
              <w:rPr>
                <w:sz w:val="60"/>
                <w:szCs w:val="60"/>
              </w:rPr>
            </w:pPr>
            <w:r w:rsidRPr="003079B1">
              <w:rPr>
                <w:sz w:val="60"/>
                <w:szCs w:val="60"/>
              </w:rPr>
              <w:t>KVARTALSRAPPORT</w:t>
            </w:r>
            <w:r w:rsidR="003079B1">
              <w:rPr>
                <w:sz w:val="60"/>
                <w:szCs w:val="60"/>
              </w:rPr>
              <w:t xml:space="preserve"> </w:t>
            </w:r>
          </w:p>
          <w:p w:rsidR="006C7F9B" w:rsidRDefault="00851EC9" w:rsidP="003F7E7D">
            <w:pPr>
              <w:pStyle w:val="Forsideoverskrift-Rd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  <w:r w:rsidR="003079B1">
              <w:rPr>
                <w:sz w:val="60"/>
                <w:szCs w:val="60"/>
              </w:rPr>
              <w:t>. kvartal 201</w:t>
            </w:r>
            <w:r w:rsidR="007549BF">
              <w:rPr>
                <w:sz w:val="60"/>
                <w:szCs w:val="60"/>
              </w:rPr>
              <w:t>9</w:t>
            </w: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Pr="003079B1" w:rsidRDefault="00903160" w:rsidP="003F7E7D">
            <w:pPr>
              <w:pStyle w:val="Forsideoverskrift-Rd"/>
              <w:rPr>
                <w:sz w:val="60"/>
                <w:szCs w:val="60"/>
              </w:rPr>
            </w:pPr>
            <w:r w:rsidRPr="00903160">
              <w:rPr>
                <w:noProof/>
                <w:sz w:val="60"/>
                <w:szCs w:val="60"/>
                <w:lang w:eastAsia="da-DK"/>
              </w:rPr>
              <w:drawing>
                <wp:inline distT="0" distB="0" distL="0" distR="0" wp14:anchorId="073D56F2" wp14:editId="573D486C">
                  <wp:extent cx="2906027" cy="1791970"/>
                  <wp:effectExtent l="0" t="0" r="8890" b="0"/>
                  <wp:docPr id="19" name="Billede 18" descr="C:\Users\jpo\Desktop\Logo uu guldborgsu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8" descr="C:\Users\jpo\Desktop\Logo uu guldborgsu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878" cy="195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-Gitter"/>
        <w:tblpPr w:vertAnchor="page" w:horzAnchor="page" w:tblpX="11228" w:tblpY="10377"/>
        <w:tblOverlap w:val="never"/>
        <w:tblW w:w="4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</w:tblGrid>
      <w:tr w:rsidR="002F368E" w:rsidTr="0055178C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F368E" w:rsidRDefault="003F7E7D" w:rsidP="003A34AE">
            <w:pPr>
              <w:pStyle w:val="OverskriftHvid"/>
            </w:pPr>
            <w:r>
              <w:t>3. KVT. 2017</w:t>
            </w:r>
          </w:p>
        </w:tc>
      </w:tr>
    </w:tbl>
    <w:p w:rsidR="006E4386" w:rsidRDefault="006E4386" w:rsidP="006E4386">
      <w:pPr>
        <w:pStyle w:val="BagsideTekst"/>
      </w:pPr>
    </w:p>
    <w:p w:rsidR="006E4386" w:rsidRDefault="006E4386" w:rsidP="006E4386">
      <w:pPr>
        <w:pStyle w:val="BagsideTekst"/>
      </w:pPr>
      <w:r>
        <w:br w:type="page"/>
      </w:r>
    </w:p>
    <w:p w:rsidR="00205629" w:rsidRPr="00DC79D7" w:rsidRDefault="00205629" w:rsidP="0083401A">
      <w:pPr>
        <w:jc w:val="both"/>
        <w:rPr>
          <w:rFonts w:ascii="Impact" w:hAnsi="Impact"/>
          <w:color w:val="FFC000"/>
          <w:sz w:val="32"/>
          <w:szCs w:val="32"/>
        </w:rPr>
      </w:pPr>
      <w:bookmarkStart w:id="2" w:name="bmkStart"/>
      <w:bookmarkEnd w:id="2"/>
      <w:r w:rsidRPr="00DC79D7">
        <w:rPr>
          <w:rFonts w:ascii="Impact" w:hAnsi="Impact"/>
          <w:color w:val="FFC000"/>
          <w:sz w:val="32"/>
          <w:szCs w:val="32"/>
        </w:rPr>
        <w:lastRenderedPageBreak/>
        <w:t>Indledning</w:t>
      </w:r>
    </w:p>
    <w:p w:rsidR="003F7E7D" w:rsidRDefault="00A44A3D" w:rsidP="0083401A">
      <w:pPr>
        <w:jc w:val="both"/>
      </w:pPr>
      <w:r>
        <w:t>Denne kvartalsrapport er</w:t>
      </w:r>
      <w:r w:rsidR="0098417E">
        <w:t xml:space="preserve"> den</w:t>
      </w:r>
      <w:r>
        <w:t xml:space="preserve"> </w:t>
      </w:r>
      <w:r w:rsidR="00951FAB">
        <w:t>anden</w:t>
      </w:r>
      <w:r>
        <w:t xml:space="preserve"> som udgives af UU Guldborgsund</w:t>
      </w:r>
      <w:r w:rsidR="007549BF">
        <w:t xml:space="preserve"> i 2019</w:t>
      </w:r>
      <w:r>
        <w:t>. Kvartalsrapporten er UU Guldborgsund</w:t>
      </w:r>
      <w:r w:rsidR="00BC44FC">
        <w:t>s</w:t>
      </w:r>
      <w:r>
        <w:t xml:space="preserve"> ø</w:t>
      </w:r>
      <w:r w:rsidR="00BC44FC">
        <w:t>nske om, at præsentere relevant data</w:t>
      </w:r>
      <w:r>
        <w:t xml:space="preserve"> </w:t>
      </w:r>
      <w:r w:rsidR="00BC44FC">
        <w:t>og information om</w:t>
      </w:r>
      <w:r>
        <w:t xml:space="preserve"> </w:t>
      </w:r>
      <w:r w:rsidR="00EC58B2">
        <w:t>de unges uddannelsesaktivi</w:t>
      </w:r>
      <w:r w:rsidR="00BC44FC">
        <w:t>te</w:t>
      </w:r>
      <w:r w:rsidR="00EC58B2">
        <w:t>te</w:t>
      </w:r>
      <w:r w:rsidR="00BC44FC">
        <w:t>r</w:t>
      </w:r>
      <w:r>
        <w:t>.</w:t>
      </w:r>
    </w:p>
    <w:p w:rsidR="003F7E7D" w:rsidRDefault="00AB62F6" w:rsidP="0083401A">
      <w:pPr>
        <w:jc w:val="both"/>
      </w:pPr>
      <w:r>
        <w:t>R</w:t>
      </w:r>
      <w:r w:rsidR="00A44A3D">
        <w:t>apporten udgives 4 gange årligt og tilpasses med de fokuspunkter som tiden efterspørger.</w:t>
      </w:r>
    </w:p>
    <w:p w:rsidR="00041BC3" w:rsidRDefault="00BC44FC" w:rsidP="00951FAB">
      <w:pPr>
        <w:jc w:val="both"/>
      </w:pPr>
      <w:r>
        <w:t xml:space="preserve">I </w:t>
      </w:r>
      <w:r w:rsidR="0078328A">
        <w:t xml:space="preserve">denne </w:t>
      </w:r>
      <w:r w:rsidR="00951FAB">
        <w:t>kvartals</w:t>
      </w:r>
      <w:r w:rsidR="00A44A3D">
        <w:t xml:space="preserve">rapport </w:t>
      </w:r>
      <w:r w:rsidR="00951FAB">
        <w:t>er der</w:t>
      </w:r>
      <w:r w:rsidR="00C762F9">
        <w:t xml:space="preserve"> primært</w:t>
      </w:r>
      <w:r w:rsidR="00951FAB">
        <w:t xml:space="preserve"> fokus på </w:t>
      </w:r>
      <w:r w:rsidR="00C762F9">
        <w:t>u</w:t>
      </w:r>
      <w:r w:rsidR="00951FAB">
        <w:t>ddannelsesparathedsvurderingen for henholdsvis 8.-9.- &amp; 10</w:t>
      </w:r>
      <w:r w:rsidR="00873303">
        <w:t>.</w:t>
      </w:r>
      <w:r w:rsidR="00951FAB">
        <w:t xml:space="preserve"> årgang. Der vil </w:t>
      </w:r>
      <w:r w:rsidR="00C762F9">
        <w:t>herunder</w:t>
      </w:r>
      <w:r w:rsidR="005A1FB2">
        <w:t xml:space="preserve"> </w:t>
      </w:r>
      <w:r w:rsidR="00951FAB">
        <w:t xml:space="preserve">være fokus på udviklingen i uddannelsesparathedsvurderingen fra årets første vurdering til den seneste. </w:t>
      </w:r>
    </w:p>
    <w:p w:rsidR="00F51AB3" w:rsidRDefault="00041BC3" w:rsidP="00951FAB">
      <w:pPr>
        <w:jc w:val="both"/>
      </w:pPr>
      <w:r>
        <w:t xml:space="preserve">Skoleåret 2018-19 er det første skoleår hvor alle elever på 8.-10. årgang bliver uddannelsesparathedsvurderet </w:t>
      </w:r>
      <w:r w:rsidR="00385E6A">
        <w:t xml:space="preserve">to gange i løbet af </w:t>
      </w:r>
      <w:r w:rsidR="00C762F9">
        <w:t>et skoleår</w:t>
      </w:r>
      <w:r w:rsidR="00385E6A">
        <w:t xml:space="preserve">. </w:t>
      </w:r>
    </w:p>
    <w:p w:rsidR="00DC79D7" w:rsidRDefault="00DC79D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385E6A" w:rsidRDefault="00385E6A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385E6A" w:rsidRDefault="00385E6A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DC79D7" w:rsidRDefault="00E4640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142875</wp:posOffset>
            </wp:positionV>
            <wp:extent cx="3808730" cy="1535981"/>
            <wp:effectExtent l="0" t="0" r="127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med unge S-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153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9D7" w:rsidRDefault="00DC79D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DC79D7" w:rsidRDefault="00DC79D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DC79D7" w:rsidRDefault="00DC79D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DC79D7" w:rsidRDefault="00DC79D7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951FAB" w:rsidRDefault="00951FAB" w:rsidP="00E037DE">
      <w:pPr>
        <w:pStyle w:val="Forsideoverskrift-Guld"/>
        <w:spacing w:after="0"/>
        <w:jc w:val="both"/>
        <w:rPr>
          <w:color w:val="D6A300"/>
          <w:sz w:val="30"/>
          <w:szCs w:val="30"/>
        </w:rPr>
      </w:pPr>
    </w:p>
    <w:p w:rsidR="00E037DE" w:rsidRPr="00FF7BCA" w:rsidRDefault="00673F87" w:rsidP="00E037DE">
      <w:pPr>
        <w:pStyle w:val="Forsideoverskrift-Guld"/>
        <w:spacing w:after="0"/>
        <w:jc w:val="both"/>
        <w:rPr>
          <w:color w:val="FFC000"/>
          <w:sz w:val="30"/>
          <w:szCs w:val="30"/>
        </w:rPr>
      </w:pPr>
      <w:r w:rsidRPr="00FF7BCA">
        <w:rPr>
          <w:color w:val="FFC000"/>
          <w:sz w:val="30"/>
          <w:szCs w:val="30"/>
        </w:rPr>
        <w:t>U</w:t>
      </w:r>
      <w:r w:rsidR="00E037DE" w:rsidRPr="00FF7BCA">
        <w:rPr>
          <w:color w:val="FFC000"/>
          <w:sz w:val="30"/>
          <w:szCs w:val="30"/>
        </w:rPr>
        <w:t>ddannelsesparathedsvurderingen 201</w:t>
      </w:r>
      <w:r w:rsidR="007549BF" w:rsidRPr="00FF7BCA">
        <w:rPr>
          <w:color w:val="FFC000"/>
          <w:sz w:val="30"/>
          <w:szCs w:val="30"/>
        </w:rPr>
        <w:t>8-19</w:t>
      </w:r>
    </w:p>
    <w:p w:rsidR="00D46107" w:rsidRDefault="00D46107" w:rsidP="00D46107">
      <w:pPr>
        <w:pStyle w:val="Pa5"/>
        <w:jc w:val="both"/>
        <w:rPr>
          <w:rFonts w:ascii="Verdana" w:hAnsi="Verdana" w:cs="Lato Light"/>
          <w:color w:val="000000"/>
          <w:sz w:val="16"/>
          <w:szCs w:val="16"/>
        </w:rPr>
      </w:pPr>
    </w:p>
    <w:p w:rsidR="00D46107" w:rsidRPr="00D46107" w:rsidRDefault="00D46107" w:rsidP="00CE35F3">
      <w:pPr>
        <w:pStyle w:val="Pa5"/>
        <w:spacing w:line="240" w:lineRule="auto"/>
        <w:jc w:val="both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lastRenderedPageBreak/>
        <w:t xml:space="preserve">Alle elever i grundskolen skal ifølge </w:t>
      </w:r>
      <w:r w:rsidRPr="00D46107">
        <w:rPr>
          <w:rFonts w:ascii="Verdana" w:hAnsi="Verdana"/>
          <w:sz w:val="16"/>
          <w:szCs w:val="16"/>
        </w:rPr>
        <w:t>lov om vejledning om uddannelse og erhverv samt pligt til uddannelse, beskæftigelse m.v., jf. lovbekendtgørelse nr. 270 af 23. marts 2017</w:t>
      </w:r>
      <w:r w:rsidRPr="00D46107">
        <w:rPr>
          <w:rFonts w:ascii="Verdana" w:hAnsi="Verdana" w:cs="Lato Light"/>
          <w:color w:val="000000"/>
          <w:sz w:val="16"/>
          <w:szCs w:val="16"/>
        </w:rPr>
        <w:t xml:space="preserve"> have en vurdering af, om de har de nødvendige faglige, sociale og personlige forudsætninger for at påbegynde og gennemføre en ungdomsuddannelse. Derudover vurderes også elevens praksisfaglige forudsætninger. </w:t>
      </w:r>
    </w:p>
    <w:p w:rsidR="00D46107" w:rsidRDefault="00D46107" w:rsidP="00CE35F3">
      <w:pPr>
        <w:pStyle w:val="Pa5"/>
        <w:spacing w:line="240" w:lineRule="auto"/>
        <w:jc w:val="both"/>
        <w:rPr>
          <w:rFonts w:ascii="Verdana" w:hAnsi="Verdana" w:cs="Lato Light"/>
          <w:color w:val="000000"/>
          <w:sz w:val="16"/>
          <w:szCs w:val="16"/>
        </w:rPr>
      </w:pPr>
    </w:p>
    <w:p w:rsidR="000375D9" w:rsidRDefault="00D46107" w:rsidP="00CE35F3">
      <w:pPr>
        <w:spacing w:line="240" w:lineRule="auto"/>
        <w:jc w:val="both"/>
      </w:pPr>
      <w:r w:rsidRPr="00D46107">
        <w:rPr>
          <w:rFonts w:cs="Lato Light"/>
          <w:color w:val="000000"/>
          <w:szCs w:val="16"/>
        </w:rPr>
        <w:t>Vurderingsprocessen indledes i 8. klasse og omfatter på dette klassetrin alle elever. Vurderingen gentages i 9. og 10. klasse for de elever, der i 8. klasse blev vurderet ikke-uddan</w:t>
      </w:r>
      <w:r w:rsidRPr="00D46107">
        <w:rPr>
          <w:rFonts w:cs="Lato Light"/>
          <w:color w:val="000000"/>
          <w:szCs w:val="16"/>
        </w:rPr>
        <w:softHyphen/>
        <w:t xml:space="preserve">nelsesparate. </w:t>
      </w:r>
      <w:r w:rsidR="000375D9">
        <w:t>Hvilket betyder</w:t>
      </w:r>
      <w:r w:rsidR="00205CEE">
        <w:t>,</w:t>
      </w:r>
      <w:r w:rsidR="000375D9">
        <w:t xml:space="preserve"> at </w:t>
      </w:r>
      <w:r w:rsidR="000375D9" w:rsidRPr="000375D9">
        <w:rPr>
          <w:u w:val="single"/>
        </w:rPr>
        <w:t>alle</w:t>
      </w:r>
      <w:r w:rsidR="000375D9">
        <w:t xml:space="preserve"> elever på årgangene er talt med, dvs. også elever der er indskrevet i diverse specialtilbud på skolerne</w:t>
      </w:r>
      <w:r w:rsidR="00205CEE">
        <w:t xml:space="preserve"> i Guldborgsund</w:t>
      </w:r>
      <w:r w:rsidR="000375D9">
        <w:t xml:space="preserve">. </w:t>
      </w:r>
    </w:p>
    <w:p w:rsidR="00D46107" w:rsidRDefault="00D46107" w:rsidP="00CE35F3">
      <w:pPr>
        <w:pStyle w:val="Pa5"/>
        <w:spacing w:line="240" w:lineRule="auto"/>
        <w:jc w:val="both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>Alle elever skal uddannelsesparathedsvurderes mindst én gang, med mindre eleven har fået et tilbud efter lov om ung</w:t>
      </w:r>
      <w:r w:rsidRPr="00D46107">
        <w:rPr>
          <w:rFonts w:ascii="Verdana" w:hAnsi="Verdana" w:cs="Lato Light"/>
          <w:color w:val="000000"/>
          <w:sz w:val="16"/>
          <w:szCs w:val="16"/>
        </w:rPr>
        <w:softHyphen/>
        <w:t xml:space="preserve">domsuddannelse for unge med særlige behov (STU). </w:t>
      </w:r>
    </w:p>
    <w:p w:rsidR="00D46107" w:rsidRPr="00D46107" w:rsidRDefault="00D46107" w:rsidP="00CE35F3">
      <w:pPr>
        <w:pStyle w:val="Default"/>
      </w:pPr>
    </w:p>
    <w:p w:rsidR="00D46107" w:rsidRDefault="00D46107" w:rsidP="00CE35F3">
      <w:pPr>
        <w:pStyle w:val="Pa5"/>
        <w:spacing w:line="240" w:lineRule="auto"/>
        <w:jc w:val="both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>Uddannelsesparathedsvurderingen i 8. klasse foretages i forhold til mindst én af følgende grupper af ungdomsuddan</w:t>
      </w:r>
      <w:r w:rsidRPr="00D46107">
        <w:rPr>
          <w:rFonts w:ascii="Verdana" w:hAnsi="Verdana" w:cs="Lato Light"/>
          <w:color w:val="000000"/>
          <w:sz w:val="16"/>
          <w:szCs w:val="16"/>
        </w:rPr>
        <w:softHyphen/>
        <w:t xml:space="preserve">nelser: </w:t>
      </w:r>
    </w:p>
    <w:p w:rsidR="00D46107" w:rsidRPr="00D46107" w:rsidRDefault="00D46107" w:rsidP="00CE35F3">
      <w:pPr>
        <w:pStyle w:val="Default"/>
      </w:pPr>
    </w:p>
    <w:p w:rsidR="00D46107" w:rsidRPr="00D46107" w:rsidRDefault="00D46107" w:rsidP="00CE35F3">
      <w:pPr>
        <w:pStyle w:val="Pa6"/>
        <w:numPr>
          <w:ilvl w:val="0"/>
          <w:numId w:val="18"/>
        </w:numPr>
        <w:spacing w:line="240" w:lineRule="auto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 xml:space="preserve">3-årige gymnasiale uddannelser </w:t>
      </w:r>
    </w:p>
    <w:p w:rsidR="00D46107" w:rsidRPr="00D46107" w:rsidRDefault="00D46107" w:rsidP="00CE35F3">
      <w:pPr>
        <w:pStyle w:val="Pa6"/>
        <w:numPr>
          <w:ilvl w:val="0"/>
          <w:numId w:val="18"/>
        </w:numPr>
        <w:spacing w:line="240" w:lineRule="auto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 xml:space="preserve">2-årig hf </w:t>
      </w:r>
    </w:p>
    <w:p w:rsidR="00D46107" w:rsidRDefault="00D46107" w:rsidP="00CE35F3">
      <w:pPr>
        <w:pStyle w:val="Pa6"/>
        <w:numPr>
          <w:ilvl w:val="0"/>
          <w:numId w:val="18"/>
        </w:numPr>
        <w:spacing w:line="240" w:lineRule="auto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 xml:space="preserve">Erhvervsuddannelser </w:t>
      </w:r>
    </w:p>
    <w:p w:rsidR="00D46107" w:rsidRPr="00D46107" w:rsidRDefault="00D46107" w:rsidP="00CE35F3">
      <w:pPr>
        <w:pStyle w:val="Default"/>
      </w:pPr>
    </w:p>
    <w:p w:rsidR="0017483B" w:rsidRDefault="00D46107" w:rsidP="00CE35F3">
      <w:pPr>
        <w:pStyle w:val="Pa5"/>
        <w:spacing w:line="240" w:lineRule="auto"/>
        <w:jc w:val="both"/>
        <w:rPr>
          <w:rFonts w:ascii="Verdana" w:hAnsi="Verdana" w:cs="Lato Light"/>
          <w:color w:val="000000"/>
          <w:sz w:val="16"/>
          <w:szCs w:val="16"/>
        </w:rPr>
      </w:pPr>
      <w:r w:rsidRPr="00D46107">
        <w:rPr>
          <w:rFonts w:ascii="Verdana" w:hAnsi="Verdana" w:cs="Lato Light"/>
          <w:color w:val="000000"/>
          <w:sz w:val="16"/>
          <w:szCs w:val="16"/>
        </w:rPr>
        <w:t>Har eleven i 9. eller 10. klasse ønske om både gymnasiale ud</w:t>
      </w:r>
      <w:r w:rsidRPr="00D46107">
        <w:rPr>
          <w:rFonts w:ascii="Verdana" w:hAnsi="Verdana" w:cs="Lato Light"/>
          <w:color w:val="000000"/>
          <w:sz w:val="16"/>
          <w:szCs w:val="16"/>
        </w:rPr>
        <w:softHyphen/>
        <w:t xml:space="preserve">dannelser og erhvervsuddannelser, foretages vurderingen til alle uddannelsesønsker. </w:t>
      </w:r>
    </w:p>
    <w:p w:rsidR="000375D9" w:rsidRPr="000375D9" w:rsidRDefault="000375D9" w:rsidP="00CE35F3">
      <w:pPr>
        <w:pStyle w:val="Default"/>
      </w:pPr>
    </w:p>
    <w:p w:rsidR="00B67492" w:rsidRDefault="00B67492" w:rsidP="00CE35F3">
      <w:pPr>
        <w:pStyle w:val="OverskriftRd"/>
        <w:spacing w:line="240" w:lineRule="auto"/>
      </w:pPr>
      <w:r>
        <w:t xml:space="preserve">Uddannelsesparathedsvurderingen i 8.kl. </w:t>
      </w:r>
    </w:p>
    <w:p w:rsidR="00AF1E9D" w:rsidRDefault="00D46107" w:rsidP="00CE35F3">
      <w:pPr>
        <w:spacing w:line="240" w:lineRule="auto"/>
        <w:jc w:val="both"/>
        <w:rPr>
          <w:rFonts w:cs="Lato Light"/>
          <w:color w:val="000000"/>
          <w:szCs w:val="16"/>
        </w:rPr>
      </w:pPr>
      <w:r w:rsidRPr="00D46107">
        <w:rPr>
          <w:rFonts w:cs="Lato Light"/>
          <w:color w:val="000000"/>
          <w:szCs w:val="16"/>
        </w:rPr>
        <w:t xml:space="preserve">Den tidlige vurdering i 8. klasse </w:t>
      </w:r>
      <w:r w:rsidR="00B67492">
        <w:rPr>
          <w:rFonts w:cs="Lato Light"/>
          <w:color w:val="000000"/>
          <w:szCs w:val="16"/>
        </w:rPr>
        <w:t xml:space="preserve">er starten på en proces hvor skolen og UU vejlederen arbejder tæt sammen </w:t>
      </w:r>
      <w:r w:rsidRPr="00D46107">
        <w:rPr>
          <w:rFonts w:cs="Lato Light"/>
          <w:color w:val="000000"/>
          <w:szCs w:val="16"/>
        </w:rPr>
        <w:t>for at hjælpe elever, der ikke umiddelbart er uddannelsesparate</w:t>
      </w:r>
      <w:r w:rsidR="00B67492">
        <w:rPr>
          <w:rFonts w:cs="Lato Light"/>
          <w:color w:val="000000"/>
          <w:szCs w:val="16"/>
        </w:rPr>
        <w:t>. D</w:t>
      </w:r>
      <w:r w:rsidRPr="00D46107">
        <w:rPr>
          <w:rFonts w:cs="Lato Light"/>
          <w:color w:val="000000"/>
          <w:szCs w:val="16"/>
        </w:rPr>
        <w:t>isse elever skal have en særlig skole- og</w:t>
      </w:r>
      <w:r w:rsidR="00B67492">
        <w:rPr>
          <w:rFonts w:cs="Lato Light"/>
          <w:color w:val="000000"/>
          <w:szCs w:val="16"/>
        </w:rPr>
        <w:t xml:space="preserve"> </w:t>
      </w:r>
      <w:r w:rsidRPr="00D46107">
        <w:rPr>
          <w:rFonts w:cs="Lato Light"/>
          <w:color w:val="000000"/>
          <w:szCs w:val="16"/>
        </w:rPr>
        <w:t>vejledningsindsats, der skal støtte dem i at blive parate til at påbegynde og gennemføre en ungdoms</w:t>
      </w:r>
      <w:r w:rsidRPr="00D46107">
        <w:rPr>
          <w:rFonts w:cs="Lato Light"/>
          <w:color w:val="000000"/>
          <w:szCs w:val="16"/>
        </w:rPr>
        <w:softHyphen/>
        <w:t>uddannelse.</w:t>
      </w:r>
      <w:r w:rsidR="001539D3">
        <w:rPr>
          <w:rFonts w:cs="Lato Light"/>
          <w:color w:val="000000"/>
          <w:szCs w:val="16"/>
        </w:rPr>
        <w:t xml:space="preserve"> Alle ikke-</w:t>
      </w:r>
      <w:r w:rsidR="00A86AF5">
        <w:rPr>
          <w:rFonts w:cs="Lato Light"/>
          <w:color w:val="000000"/>
          <w:szCs w:val="16"/>
        </w:rPr>
        <w:t xml:space="preserve">uddannelsesparate elever får individuel vejledning med udgangspunkt i deres egen individuelle vejledningsplan. </w:t>
      </w:r>
      <w:r w:rsidR="00AF1E9D">
        <w:rPr>
          <w:rFonts w:cs="Lato Light"/>
          <w:color w:val="000000"/>
          <w:szCs w:val="16"/>
        </w:rPr>
        <w:t>Alle elever, uanset hvilken parathedsvurdering de har fået, modtager kollektiv vejledning</w:t>
      </w:r>
      <w:r w:rsidR="001539D3">
        <w:rPr>
          <w:rFonts w:cs="Lato Light"/>
          <w:color w:val="000000"/>
          <w:szCs w:val="16"/>
        </w:rPr>
        <w:t xml:space="preserve"> i klasserne</w:t>
      </w:r>
      <w:r w:rsidR="00AF1E9D">
        <w:rPr>
          <w:rFonts w:cs="Lato Light"/>
          <w:color w:val="000000"/>
          <w:szCs w:val="16"/>
        </w:rPr>
        <w:t xml:space="preserve">. </w:t>
      </w:r>
    </w:p>
    <w:p w:rsidR="00583C9F" w:rsidRDefault="00D46107" w:rsidP="00CE35F3">
      <w:pPr>
        <w:spacing w:line="240" w:lineRule="auto"/>
        <w:jc w:val="both"/>
        <w:rPr>
          <w:rFonts w:cs="Lato Light"/>
          <w:color w:val="000000"/>
          <w:szCs w:val="16"/>
        </w:rPr>
      </w:pPr>
      <w:r w:rsidRPr="00D46107">
        <w:rPr>
          <w:rFonts w:cs="Lato Light"/>
          <w:color w:val="000000"/>
          <w:szCs w:val="16"/>
        </w:rPr>
        <w:t>Er eleven i 8. klasse vurderet uddannelsespa</w:t>
      </w:r>
      <w:r w:rsidRPr="00D46107">
        <w:rPr>
          <w:rFonts w:cs="Lato Light"/>
          <w:color w:val="000000"/>
          <w:szCs w:val="16"/>
        </w:rPr>
        <w:softHyphen/>
        <w:t>rat, skal oplysningerne om elevens faglige, personlige og sociale forudsætninger opdateres 2 gange årligt. Det er kun hvis der opstår en ændring i en af forudsætningerne eller at eleven ønsker at søge en anden kategori af ungdomsuddan</w:t>
      </w:r>
      <w:r w:rsidRPr="00D46107">
        <w:rPr>
          <w:rFonts w:cs="Lato Light"/>
          <w:color w:val="000000"/>
          <w:szCs w:val="16"/>
        </w:rPr>
        <w:softHyphen/>
        <w:t>nelse, at en ny vurdering foretages. Elever, der er vurderet ikke-uddannelsesparate bliver dog vurderet 2 gange årligt.</w:t>
      </w:r>
    </w:p>
    <w:p w:rsidR="00B06272" w:rsidRDefault="00205629" w:rsidP="00205629">
      <w:pPr>
        <w:pStyle w:val="OverskriftRd"/>
      </w:pPr>
      <w:r>
        <w:t>8.klasse</w:t>
      </w:r>
      <w:r w:rsidR="00DC79D7">
        <w:t xml:space="preserve"> Uddannelseparathedsvurdering </w:t>
      </w:r>
      <w:r w:rsidR="009D3656">
        <w:t xml:space="preserve">pr. </w:t>
      </w:r>
      <w:r w:rsidR="00281A75">
        <w:t>25/6</w:t>
      </w:r>
      <w:r w:rsidR="009D3656">
        <w:t xml:space="preserve"> 20</w:t>
      </w:r>
      <w:r w:rsidR="00DC79D7">
        <w:t>19</w:t>
      </w:r>
    </w:p>
    <w:tbl>
      <w:tblPr>
        <w:tblW w:w="74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3"/>
      </w:tblGrid>
      <w:tr w:rsidR="006E221D" w:rsidTr="00B06272">
        <w:trPr>
          <w:trHeight w:val="237"/>
        </w:trPr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6E221D" w:rsidRDefault="006E221D">
            <w:pPr>
              <w:spacing w:line="23" w:lineRule="auto"/>
            </w:pPr>
          </w:p>
        </w:tc>
      </w:tr>
    </w:tbl>
    <w:p w:rsidR="00E037DE" w:rsidRDefault="00E037DE" w:rsidP="00E037DE">
      <w:pPr>
        <w:jc w:val="both"/>
      </w:pPr>
      <w:r>
        <w:t xml:space="preserve">Nedenstående tabel </w:t>
      </w:r>
      <w:r w:rsidR="00CF7947">
        <w:t>1</w:t>
      </w:r>
      <w:r>
        <w:t xml:space="preserve"> viser fordelingen af uddannelsesparate (UP) og ikke-uddannelsesparate (IUP) 8.</w:t>
      </w:r>
      <w:r w:rsidR="00344601">
        <w:t xml:space="preserve"> </w:t>
      </w:r>
      <w:r>
        <w:t>klasses elever på henholdsvis folke- og privatskoler i Guldborgsund.</w:t>
      </w:r>
    </w:p>
    <w:p w:rsidR="00E037DE" w:rsidRDefault="00CF7947" w:rsidP="00E037DE">
      <w:pPr>
        <w:jc w:val="both"/>
        <w:rPr>
          <w:i/>
        </w:rPr>
      </w:pPr>
      <w:r>
        <w:rPr>
          <w:i/>
        </w:rPr>
        <w:t>Tabel 1</w:t>
      </w:r>
    </w:p>
    <w:p w:rsidR="00CF7947" w:rsidRPr="00C01854" w:rsidRDefault="00CF7947" w:rsidP="00E037DE">
      <w:pPr>
        <w:jc w:val="both"/>
        <w:rPr>
          <w:i/>
        </w:rPr>
      </w:pPr>
      <w:r>
        <w:rPr>
          <w:noProof/>
          <w:lang w:eastAsia="da-DK"/>
        </w:rPr>
        <w:lastRenderedPageBreak/>
        <w:drawing>
          <wp:inline distT="0" distB="0" distL="0" distR="0" wp14:anchorId="0241D923" wp14:editId="20F0C526">
            <wp:extent cx="4152900" cy="2619375"/>
            <wp:effectExtent l="0" t="0" r="0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37DE" w:rsidRDefault="00E037DE" w:rsidP="00E037DE">
      <w:pPr>
        <w:jc w:val="both"/>
      </w:pPr>
      <w:r w:rsidRPr="00534B93">
        <w:t xml:space="preserve">Der </w:t>
      </w:r>
      <w:r w:rsidR="00F75E39">
        <w:t>var</w:t>
      </w:r>
      <w:r w:rsidRPr="00534B93">
        <w:t xml:space="preserve"> pr. </w:t>
      </w:r>
      <w:r w:rsidR="00CF7947">
        <w:t>26/6</w:t>
      </w:r>
      <w:r w:rsidRPr="00534B93">
        <w:t>-201</w:t>
      </w:r>
      <w:r w:rsidR="00F75E39">
        <w:t>9</w:t>
      </w:r>
      <w:r w:rsidRPr="00534B93">
        <w:t xml:space="preserve"> indskrevet </w:t>
      </w:r>
      <w:r>
        <w:t>6</w:t>
      </w:r>
      <w:r w:rsidR="00F75E39">
        <w:t>4</w:t>
      </w:r>
      <w:r w:rsidR="00CF7947">
        <w:t>6</w:t>
      </w:r>
      <w:r>
        <w:t xml:space="preserve"> 8. kl. elever</w:t>
      </w:r>
      <w:r w:rsidRPr="00534B93">
        <w:t xml:space="preserve"> i alm. folkeskoler og privatskoler i Guldborgsund.</w:t>
      </w:r>
      <w:r>
        <w:t xml:space="preserve"> </w:t>
      </w:r>
    </w:p>
    <w:p w:rsidR="00E037DE" w:rsidRDefault="00791A82" w:rsidP="00E037DE">
      <w:pPr>
        <w:pStyle w:val="Listeafsnit"/>
        <w:numPr>
          <w:ilvl w:val="0"/>
          <w:numId w:val="4"/>
        </w:numPr>
        <w:jc w:val="both"/>
      </w:pPr>
      <w:r>
        <w:t>47,1</w:t>
      </w:r>
      <w:r w:rsidR="00E037DE">
        <w:t xml:space="preserve"> % er vurderet IUP i folkeskolerne.</w:t>
      </w:r>
    </w:p>
    <w:p w:rsidR="00E037DE" w:rsidRDefault="00791A82" w:rsidP="00E037DE">
      <w:pPr>
        <w:pStyle w:val="Listeafsnit"/>
        <w:numPr>
          <w:ilvl w:val="0"/>
          <w:numId w:val="4"/>
        </w:numPr>
        <w:jc w:val="both"/>
      </w:pPr>
      <w:r>
        <w:t>25,7</w:t>
      </w:r>
      <w:r w:rsidR="00E037DE">
        <w:t xml:space="preserve"> % </w:t>
      </w:r>
      <w:r w:rsidR="00755737">
        <w:t xml:space="preserve">er </w:t>
      </w:r>
      <w:r w:rsidR="00E037DE">
        <w:t>vurderet IUP i privatskolerne.</w:t>
      </w:r>
    </w:p>
    <w:p w:rsidR="00E037DE" w:rsidRDefault="00E037DE" w:rsidP="00E037DE">
      <w:pPr>
        <w:pStyle w:val="Listeafsnit"/>
        <w:numPr>
          <w:ilvl w:val="0"/>
          <w:numId w:val="4"/>
        </w:numPr>
        <w:jc w:val="both"/>
      </w:pPr>
      <w:r>
        <w:t xml:space="preserve">Samlet set er </w:t>
      </w:r>
      <w:r w:rsidR="00F30E8E">
        <w:t>4</w:t>
      </w:r>
      <w:r w:rsidR="00791A82">
        <w:t>3</w:t>
      </w:r>
      <w:r w:rsidR="00F30E8E">
        <w:t>,</w:t>
      </w:r>
      <w:r w:rsidR="00791A82">
        <w:t>3</w:t>
      </w:r>
      <w:r w:rsidR="00FC6BF7">
        <w:t xml:space="preserve"> % vurderet IUP i 8.kl. på folke- og privatskoler i</w:t>
      </w:r>
      <w:r>
        <w:t xml:space="preserve"> Guldborgsund.  </w:t>
      </w:r>
    </w:p>
    <w:p w:rsidR="00640F39" w:rsidRDefault="00640F39" w:rsidP="00640F39">
      <w:pPr>
        <w:jc w:val="both"/>
      </w:pPr>
      <w:r>
        <w:t>I forhold til årets første uddannelsesparathedsvurdering d. 15/1-2019 betyder dette</w:t>
      </w:r>
      <w:r w:rsidR="00281A75">
        <w:t xml:space="preserve"> et </w:t>
      </w:r>
      <w:r w:rsidR="009338FF">
        <w:t xml:space="preserve">samlet </w:t>
      </w:r>
      <w:r w:rsidR="00281A75">
        <w:t>fald</w:t>
      </w:r>
      <w:r w:rsidR="009338FF">
        <w:t xml:space="preserve"> på 3,8 % af IUP elever</w:t>
      </w:r>
      <w:r>
        <w:t xml:space="preserve"> </w:t>
      </w:r>
      <w:r w:rsidR="00281A75">
        <w:t>ved</w:t>
      </w:r>
      <w:r w:rsidR="009338FF">
        <w:t xml:space="preserve"> </w:t>
      </w:r>
      <w:r>
        <w:t>den s</w:t>
      </w:r>
      <w:r w:rsidR="00550E2E">
        <w:t>eneste parat-</w:t>
      </w:r>
      <w:proofErr w:type="spellStart"/>
      <w:r w:rsidR="000C4210">
        <w:t>hedsvurdering</w:t>
      </w:r>
      <w:proofErr w:type="spellEnd"/>
      <w:r w:rsidR="000C4210">
        <w:t xml:space="preserve"> pr. 25</w:t>
      </w:r>
      <w:r>
        <w:t xml:space="preserve">/6-2019 </w:t>
      </w:r>
      <w:r w:rsidR="009338FF">
        <w:t xml:space="preserve">på </w:t>
      </w:r>
      <w:r w:rsidR="00281A75">
        <w:t>8.</w:t>
      </w:r>
      <w:r w:rsidR="009338FF">
        <w:t xml:space="preserve"> årgang. </w:t>
      </w:r>
    </w:p>
    <w:p w:rsidR="00FC18BC" w:rsidRDefault="00FC18BC" w:rsidP="00205629">
      <w:pPr>
        <w:pStyle w:val="OverskriftRd"/>
      </w:pPr>
    </w:p>
    <w:p w:rsidR="00F6220D" w:rsidRDefault="00F6220D" w:rsidP="00205629">
      <w:pPr>
        <w:pStyle w:val="OverskriftRd"/>
      </w:pPr>
    </w:p>
    <w:p w:rsidR="00640F39" w:rsidRDefault="00640F39" w:rsidP="00640F39">
      <w:pPr>
        <w:jc w:val="both"/>
      </w:pPr>
      <w:r>
        <w:t xml:space="preserve">Se tabel </w:t>
      </w:r>
      <w:r w:rsidR="00B54B39">
        <w:t>2</w:t>
      </w:r>
      <w:r>
        <w:t>-</w:t>
      </w:r>
      <w:r w:rsidR="005A1FB2">
        <w:t>4</w:t>
      </w:r>
      <w:r>
        <w:t xml:space="preserve"> for tallene for uddannelsesparathedsvurderingen for 8. årgang på både folke- og privatskolerne i Guldborgsund. I tabellerne k</w:t>
      </w:r>
      <w:r w:rsidR="00BB2C1C">
        <w:t>an man se den seneste UPV pr. 2</w:t>
      </w:r>
      <w:r w:rsidR="000C4210">
        <w:t>5</w:t>
      </w:r>
      <w:r>
        <w:t xml:space="preserve">/6-2019 og årets første UPV pr. 15/1-2019  </w:t>
      </w:r>
    </w:p>
    <w:p w:rsidR="00F6220D" w:rsidRDefault="00B54B39" w:rsidP="00B54B39">
      <w:pPr>
        <w:rPr>
          <w:i/>
        </w:rPr>
      </w:pPr>
      <w:r w:rsidRPr="00B54B39">
        <w:rPr>
          <w:i/>
        </w:rPr>
        <w:t>Tabel</w:t>
      </w:r>
      <w:r>
        <w:rPr>
          <w:i/>
        </w:rPr>
        <w:t xml:space="preserve"> 2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32"/>
        <w:gridCol w:w="1080"/>
        <w:gridCol w:w="1080"/>
        <w:gridCol w:w="1080"/>
      </w:tblGrid>
      <w:tr w:rsidR="00B54B39" w:rsidRPr="00B54B39" w:rsidTr="00B54B39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Folkeskoler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4B39" w:rsidRPr="00B54B39" w:rsidTr="00B54B39">
        <w:trPr>
          <w:trHeight w:val="28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0C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Pr. 2</w:t>
            </w:r>
            <w:r w:rsidR="000C4210">
              <w:rPr>
                <w:rFonts w:ascii="Arial" w:eastAsia="Times New Roman" w:hAnsi="Arial" w:cs="Arial"/>
                <w:sz w:val="22"/>
                <w:lang w:eastAsia="da-DK"/>
              </w:rPr>
              <w:t>5</w:t>
            </w: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B54B39" w:rsidRPr="00B54B39" w:rsidTr="00B54B39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52,9%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47,3%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47,1%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52,7%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B54B39" w:rsidRDefault="00B54B39" w:rsidP="00B54B39"/>
    <w:p w:rsidR="00B54B39" w:rsidRDefault="00B54B39" w:rsidP="00B54B39">
      <w:pPr>
        <w:rPr>
          <w:i/>
        </w:rPr>
      </w:pPr>
      <w:r w:rsidRPr="00B54B39">
        <w:rPr>
          <w:i/>
        </w:rPr>
        <w:t>Tabel</w:t>
      </w:r>
      <w:r>
        <w:rPr>
          <w:i/>
        </w:rPr>
        <w:t xml:space="preserve"> 3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32"/>
        <w:gridCol w:w="1080"/>
        <w:gridCol w:w="1080"/>
        <w:gridCol w:w="1080"/>
      </w:tblGrid>
      <w:tr w:rsidR="00B54B39" w:rsidRPr="00B54B39" w:rsidTr="00B54B39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Privatskoler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4B39" w:rsidRPr="00B54B39" w:rsidTr="00B54B39">
        <w:trPr>
          <w:trHeight w:val="28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0C4210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25</w:t>
            </w:r>
            <w:r w:rsidR="00B54B39" w:rsidRPr="00B54B39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B54B39" w:rsidRPr="00B54B39" w:rsidTr="00B54B39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79,5%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25,7%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20,5%</w:t>
            </w:r>
          </w:p>
        </w:tc>
      </w:tr>
      <w:tr w:rsidR="00B54B39" w:rsidRPr="00B54B39" w:rsidTr="00B54B39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B54B39" w:rsidRDefault="00B54B39" w:rsidP="00B54B39">
      <w:pPr>
        <w:rPr>
          <w:i/>
        </w:rPr>
      </w:pPr>
    </w:p>
    <w:p w:rsidR="00B54B39" w:rsidRDefault="00B54B39" w:rsidP="00B54B39">
      <w:pPr>
        <w:rPr>
          <w:i/>
        </w:rPr>
      </w:pPr>
      <w:r>
        <w:rPr>
          <w:i/>
        </w:rPr>
        <w:t>Tabel 4</w:t>
      </w:r>
    </w:p>
    <w:tbl>
      <w:tblPr>
        <w:tblW w:w="6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126"/>
        <w:gridCol w:w="1460"/>
        <w:gridCol w:w="1201"/>
        <w:gridCol w:w="1203"/>
      </w:tblGrid>
      <w:tr w:rsidR="00B54B39" w:rsidRPr="00B54B39" w:rsidTr="00562895">
        <w:trPr>
          <w:trHeight w:val="354"/>
        </w:trPr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562895" w:rsidP="005628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Samlet tal for F</w:t>
            </w:r>
            <w:r w:rsidR="00B54B39" w:rsidRPr="00B54B39">
              <w:rPr>
                <w:rFonts w:ascii="Arial" w:eastAsia="Times New Roman" w:hAnsi="Arial" w:cs="Arial"/>
                <w:sz w:val="22"/>
                <w:lang w:eastAsia="da-DK"/>
              </w:rPr>
              <w:t>olke- og privatskoler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4B39" w:rsidRPr="00B54B39" w:rsidTr="00562895">
        <w:trPr>
          <w:trHeight w:val="3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0C4210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25</w:t>
            </w:r>
            <w:r w:rsidR="00B54B39" w:rsidRPr="00B54B39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B54B39" w:rsidRPr="00B54B39" w:rsidTr="00562895">
        <w:trPr>
          <w:trHeight w:val="3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B54B39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B54B39" w:rsidRPr="00B54B39" w:rsidTr="00562895">
        <w:trPr>
          <w:trHeight w:val="37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366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56,7%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52,9%</w:t>
            </w:r>
          </w:p>
        </w:tc>
      </w:tr>
      <w:tr w:rsidR="00B54B39" w:rsidRPr="00B54B39" w:rsidTr="00562895">
        <w:trPr>
          <w:trHeight w:val="37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43,3%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47,1%</w:t>
            </w:r>
          </w:p>
        </w:tc>
      </w:tr>
      <w:tr w:rsidR="00B54B39" w:rsidRPr="00B54B39" w:rsidTr="00562895">
        <w:trPr>
          <w:trHeight w:val="37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646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54B39" w:rsidRPr="00B54B39" w:rsidRDefault="00B54B39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B54B39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B54B39" w:rsidRPr="00B54B39" w:rsidRDefault="00B54B39" w:rsidP="00B54B39">
      <w:pPr>
        <w:rPr>
          <w:i/>
        </w:rPr>
      </w:pPr>
    </w:p>
    <w:p w:rsidR="00F6220D" w:rsidRDefault="00F6220D" w:rsidP="00205629">
      <w:pPr>
        <w:pStyle w:val="OverskriftRd"/>
      </w:pPr>
    </w:p>
    <w:p w:rsidR="00F6220D" w:rsidRDefault="00F6220D" w:rsidP="00205629">
      <w:pPr>
        <w:pStyle w:val="OverskriftRd"/>
      </w:pPr>
    </w:p>
    <w:p w:rsidR="00675D97" w:rsidRDefault="00675D97" w:rsidP="00675D97">
      <w:r>
        <w:t>I UU Guldborgsund arbejder vi på 8. årgang med flere ti</w:t>
      </w:r>
      <w:r w:rsidR="00721154">
        <w:t>ltag for at gøre flere unge uddannelsesparate</w:t>
      </w:r>
      <w:r>
        <w:t xml:space="preserve"> til en ungdomsuddannelse efter 9. eller 10. klasse. UU vejlederne sørger bl.a. for at alle elever i folkeskolerne på 8. årgang kommer til Skills, får afprøvet to ungdomsuddannelser </w:t>
      </w:r>
      <w:r w:rsidR="00721154">
        <w:t xml:space="preserve">i et introforløb </w:t>
      </w:r>
      <w:r>
        <w:t>(mindst en erhvervsrettet uddannelse)</w:t>
      </w:r>
      <w:r w:rsidR="00721154">
        <w:t xml:space="preserve">, er en uge i erhvervspraktik og samtidig modtager alle elever i både folke- og privatskoler kollektiv vejledning. </w:t>
      </w:r>
    </w:p>
    <w:p w:rsidR="00FD4DF9" w:rsidRDefault="00FD4DF9" w:rsidP="00FD4DF9">
      <w:pPr>
        <w:pStyle w:val="OverskriftRd"/>
      </w:pPr>
      <w:r>
        <w:t>Studievalgsportfolio</w:t>
      </w:r>
    </w:p>
    <w:p w:rsidR="00EF703A" w:rsidRDefault="00721154" w:rsidP="00DA0C87">
      <w:pPr>
        <w:jc w:val="both"/>
        <w:rPr>
          <w:rFonts w:cs="Lato Light"/>
        </w:rPr>
      </w:pPr>
      <w:r>
        <w:rPr>
          <w:rFonts w:cs="Lato Light"/>
        </w:rPr>
        <w:t xml:space="preserve">I den kollektive vejledning </w:t>
      </w:r>
      <w:r w:rsidR="00DA0C87" w:rsidRPr="00DA0C87">
        <w:rPr>
          <w:rFonts w:cs="Lato Light"/>
        </w:rPr>
        <w:t>introduceres</w:t>
      </w:r>
      <w:r>
        <w:rPr>
          <w:rFonts w:cs="Lato Light"/>
        </w:rPr>
        <w:t xml:space="preserve"> eleverne på 8. årgang ligeledes </w:t>
      </w:r>
      <w:r w:rsidR="00DA0C87" w:rsidRPr="00DA0C87">
        <w:rPr>
          <w:rFonts w:cs="Lato Light"/>
        </w:rPr>
        <w:t xml:space="preserve">til arbejdet med en studievalgsportfolio. Formålet med Studievalgsportfolioen er at give eleverne et godt grundlag for at foretage valg af ungdomsuddannelse efter 9. eller 10. klasse. </w:t>
      </w:r>
    </w:p>
    <w:p w:rsidR="00E80F72" w:rsidRDefault="00DA0C87" w:rsidP="00DA0C87">
      <w:pPr>
        <w:jc w:val="both"/>
        <w:rPr>
          <w:rFonts w:cs="Lato Light"/>
        </w:rPr>
      </w:pPr>
      <w:r w:rsidRPr="00DA0C87">
        <w:rPr>
          <w:rFonts w:cs="Lato Light"/>
        </w:rPr>
        <w:t>Det er endvi</w:t>
      </w:r>
      <w:r w:rsidRPr="00DA0C87">
        <w:rPr>
          <w:rFonts w:cs="Lato Light"/>
        </w:rPr>
        <w:softHyphen/>
        <w:t>dere et formål at skabe kontinuitet og sammenhæng i den vejledning, der finder sted i udskolingen og i starten af ung</w:t>
      </w:r>
      <w:r w:rsidRPr="00DA0C87">
        <w:rPr>
          <w:rFonts w:cs="Lato Light"/>
        </w:rPr>
        <w:softHyphen/>
        <w:t>domsuddannelsen. Studievalgsportfolioen er et værktøj for elever i 8., 9. og 10. klasse, som samler de overvejelser, som eleven gør sig i forskellige aktiviteter i skolen og som retter sig mod valg af ungdomsuddannelse</w:t>
      </w:r>
      <w:r w:rsidR="00E80F72">
        <w:rPr>
          <w:rFonts w:cs="Lato Light"/>
        </w:rPr>
        <w:t xml:space="preserve">. </w:t>
      </w:r>
    </w:p>
    <w:p w:rsidR="00E80F72" w:rsidRDefault="00DA0C87" w:rsidP="00E80F72">
      <w:pPr>
        <w:jc w:val="both"/>
        <w:rPr>
          <w:rFonts w:cs="Lato Light"/>
        </w:rPr>
      </w:pPr>
      <w:r w:rsidRPr="00DA0C87">
        <w:rPr>
          <w:rFonts w:cs="Lato Light"/>
        </w:rPr>
        <w:t>Studievalgsportfolio</w:t>
      </w:r>
      <w:r w:rsidRPr="00DA0C87">
        <w:rPr>
          <w:rFonts w:cs="Lato Light"/>
        </w:rPr>
        <w:softHyphen/>
        <w:t>en består af et afrapporteringsskema på syv spørgsmål og en række spørgsmål om konkrete vejledningsaktiviteter, som skal vedlægges tilmeldingen til ungdomsuddannelser</w:t>
      </w:r>
      <w:r w:rsidRPr="00DA0C87">
        <w:rPr>
          <w:rFonts w:cs="Lato Light"/>
        </w:rPr>
        <w:softHyphen/>
        <w:t xml:space="preserve">ne i 9. eller 10. klasse. Det er op til kommunerne/skolerne at afgøre, hvordan arbejdet med </w:t>
      </w:r>
      <w:proofErr w:type="spellStart"/>
      <w:r w:rsidRPr="00DA0C87">
        <w:rPr>
          <w:rFonts w:cs="Lato Light"/>
        </w:rPr>
        <w:t>portfolioen</w:t>
      </w:r>
      <w:proofErr w:type="spellEnd"/>
      <w:r w:rsidRPr="00DA0C87">
        <w:rPr>
          <w:rFonts w:cs="Lato Light"/>
        </w:rPr>
        <w:t xml:space="preserve"> opbevares undervejs, uanset om man vælger at lade eleverne skrive direkte i afrapporteringsskemaet, eller om der bruges et lokalt system til at gemme elevernes overvejelser under</w:t>
      </w:r>
      <w:r w:rsidRPr="00DA0C87">
        <w:rPr>
          <w:rFonts w:cs="Lato Light"/>
        </w:rPr>
        <w:softHyphen/>
        <w:t xml:space="preserve">vejs, inden afrapporteringsskemaet udfyldes. </w:t>
      </w:r>
      <w:r w:rsidR="00E80F72" w:rsidRPr="00DA0C87">
        <w:rPr>
          <w:rFonts w:cs="Lato Light"/>
        </w:rPr>
        <w:t xml:space="preserve"> </w:t>
      </w:r>
      <w:r w:rsidR="00E80F72">
        <w:rPr>
          <w:rFonts w:cs="Lato Light"/>
        </w:rPr>
        <w:t xml:space="preserve">I UU Guldborgsund arbejder vi ydermere med en udleveret </w:t>
      </w:r>
      <w:proofErr w:type="spellStart"/>
      <w:r w:rsidR="00E80F72" w:rsidRPr="00DA0C87">
        <w:rPr>
          <w:rFonts w:cs="Lato Light"/>
        </w:rPr>
        <w:t>studievalgsportfolio</w:t>
      </w:r>
      <w:r w:rsidR="00E80F72">
        <w:rPr>
          <w:rFonts w:cs="Lato Light"/>
        </w:rPr>
        <w:t>mappe</w:t>
      </w:r>
      <w:proofErr w:type="spellEnd"/>
      <w:r w:rsidR="00E80F72">
        <w:rPr>
          <w:rFonts w:cs="Lato Light"/>
        </w:rPr>
        <w:t xml:space="preserve">, der følger eleven fra 6. kl. til 9. kl. og understøtter elevens overvejelser frem mod udfyldelsen af studievalgsportfolioen. Eleverne har dermed et godt grundlag for at udfylde deres </w:t>
      </w:r>
      <w:r w:rsidR="00E80F72" w:rsidRPr="00DA0C87">
        <w:rPr>
          <w:rFonts w:cs="Lato Light"/>
        </w:rPr>
        <w:t>studievalgsportfolio</w:t>
      </w:r>
      <w:r w:rsidR="00E80F72">
        <w:rPr>
          <w:rFonts w:cs="Lato Light"/>
        </w:rPr>
        <w:t xml:space="preserve">, når de kigger tilbage på den kollektive vejledning, der er baseret på Karrierelæringstanken, som de har modtaget igennem deres skoletid.  </w:t>
      </w:r>
    </w:p>
    <w:p w:rsidR="00E80F72" w:rsidRDefault="00DA0C87" w:rsidP="00DA0C87">
      <w:pPr>
        <w:jc w:val="both"/>
        <w:rPr>
          <w:rFonts w:cs="Lato Light"/>
        </w:rPr>
      </w:pPr>
      <w:r>
        <w:rPr>
          <w:rFonts w:cs="Lato Light"/>
        </w:rPr>
        <w:lastRenderedPageBreak/>
        <w:t>E</w:t>
      </w:r>
      <w:r w:rsidR="003A285B">
        <w:rPr>
          <w:rFonts w:cs="Lato Light"/>
        </w:rPr>
        <w:t>leverne på både folke- og privatskoler i</w:t>
      </w:r>
      <w:r>
        <w:rPr>
          <w:rFonts w:cs="Lato Light"/>
        </w:rPr>
        <w:t xml:space="preserve"> Guldborgsund</w:t>
      </w:r>
      <w:r w:rsidR="003A285B">
        <w:rPr>
          <w:rFonts w:cs="Lato Light"/>
        </w:rPr>
        <w:t xml:space="preserve"> har</w:t>
      </w:r>
      <w:r w:rsidRPr="00DA0C87">
        <w:rPr>
          <w:rFonts w:cs="Lato Light"/>
        </w:rPr>
        <w:t xml:space="preserve"> adgang til og</w:t>
      </w:r>
      <w:r>
        <w:rPr>
          <w:rFonts w:cs="Lato Light"/>
        </w:rPr>
        <w:t xml:space="preserve"> kan løbende </w:t>
      </w:r>
      <w:r w:rsidRPr="00DA0C87">
        <w:rPr>
          <w:rFonts w:cs="Lato Light"/>
        </w:rPr>
        <w:t>revidere og fortsætte arbejdet frem mod valg af ungdomsuddannelse</w:t>
      </w:r>
      <w:r>
        <w:rPr>
          <w:rFonts w:cs="Lato Light"/>
        </w:rPr>
        <w:t xml:space="preserve"> i vores fagsystem U</w:t>
      </w:r>
      <w:r w:rsidR="00FD0698">
        <w:rPr>
          <w:rFonts w:cs="Lato Light"/>
        </w:rPr>
        <w:t>NOUNG</w:t>
      </w:r>
      <w:r w:rsidR="00E80F72">
        <w:rPr>
          <w:rFonts w:cs="Lato Light"/>
        </w:rPr>
        <w:t xml:space="preserve"> i deres eget afrapporteringsskema. </w:t>
      </w:r>
    </w:p>
    <w:p w:rsidR="00DA0C87" w:rsidRPr="00DA0C87" w:rsidRDefault="00E80F72" w:rsidP="00DA0C87">
      <w:pPr>
        <w:jc w:val="both"/>
      </w:pPr>
      <w:r>
        <w:rPr>
          <w:rFonts w:cs="Lato Light"/>
        </w:rPr>
        <w:t>D</w:t>
      </w:r>
      <w:r w:rsidR="00DA0C87" w:rsidRPr="00DA0C87">
        <w:rPr>
          <w:rFonts w:cs="Lato Light"/>
        </w:rPr>
        <w:t>et</w:t>
      </w:r>
      <w:r>
        <w:rPr>
          <w:rFonts w:cs="Lato Light"/>
        </w:rPr>
        <w:t xml:space="preserve"> er</w:t>
      </w:r>
      <w:r w:rsidR="00DA0C87" w:rsidRPr="00DA0C87">
        <w:rPr>
          <w:rFonts w:cs="Lato Light"/>
        </w:rPr>
        <w:t xml:space="preserve"> et krav, at afrapporteringsskemaet ved</w:t>
      </w:r>
      <w:r w:rsidR="00DA0C87" w:rsidRPr="00DA0C87">
        <w:rPr>
          <w:rFonts w:cs="Lato Light"/>
        </w:rPr>
        <w:softHyphen/>
        <w:t>hæftes som pdf ved tilmelding til ungdomsuddannelserne</w:t>
      </w:r>
      <w:r w:rsidR="00DA0C87">
        <w:rPr>
          <w:rFonts w:cs="Lato Light"/>
        </w:rPr>
        <w:t xml:space="preserve">, hvilket betyder at alle unge der søger ind på en erhvervs- eller gymnasial uddannelse skal vedhæfte deres studievalgsportfolio. </w:t>
      </w:r>
    </w:p>
    <w:p w:rsidR="00DA0C87" w:rsidRDefault="00DA0C87" w:rsidP="00205629">
      <w:pPr>
        <w:pStyle w:val="OverskriftRd"/>
      </w:pPr>
    </w:p>
    <w:p w:rsidR="00050EC9" w:rsidRDefault="00E1466D" w:rsidP="00205629">
      <w:pPr>
        <w:pStyle w:val="OverskriftRd"/>
      </w:pPr>
      <w:r>
        <w:t>9</w:t>
      </w:r>
      <w:r w:rsidR="00205629">
        <w:t>.klasse</w:t>
      </w:r>
      <w:r w:rsidR="00DC79D7">
        <w:t xml:space="preserve"> </w:t>
      </w:r>
      <w:r w:rsidR="009D3656">
        <w:t xml:space="preserve">Uddannelseparathedsvurdering pr. </w:t>
      </w:r>
      <w:r w:rsidR="00FC18BC">
        <w:t>10</w:t>
      </w:r>
      <w:r w:rsidR="001E1B4C">
        <w:t>/6</w:t>
      </w:r>
      <w:r w:rsidR="009D3656">
        <w:t xml:space="preserve"> 2019</w:t>
      </w:r>
    </w:p>
    <w:p w:rsidR="00E037DE" w:rsidRDefault="00AE1694" w:rsidP="00E037DE">
      <w:pPr>
        <w:jc w:val="both"/>
      </w:pPr>
      <w:r>
        <w:t xml:space="preserve">Nedenstående tabel </w:t>
      </w:r>
      <w:r w:rsidR="007515A0">
        <w:t>5</w:t>
      </w:r>
      <w:r w:rsidR="00E037DE">
        <w:t xml:space="preserve"> viser fordelingen af uddannelsesparate (UP) og ikke-uddannelsesparate (IUP) 9. klasses elever på henholdsvis folke- og privatskoler i Guldborgsund.</w:t>
      </w:r>
    </w:p>
    <w:p w:rsidR="00E037DE" w:rsidRDefault="007515A0" w:rsidP="00E037DE">
      <w:pPr>
        <w:jc w:val="both"/>
        <w:rPr>
          <w:i/>
        </w:rPr>
      </w:pPr>
      <w:r>
        <w:rPr>
          <w:i/>
        </w:rPr>
        <w:t>Tabel 5</w:t>
      </w:r>
    </w:p>
    <w:p w:rsidR="001E1B4C" w:rsidRPr="00C01854" w:rsidRDefault="001E1B4C" w:rsidP="00E037DE">
      <w:pPr>
        <w:jc w:val="both"/>
        <w:rPr>
          <w:i/>
        </w:rPr>
      </w:pPr>
      <w:r>
        <w:rPr>
          <w:noProof/>
          <w:lang w:eastAsia="da-DK"/>
        </w:rPr>
        <w:drawing>
          <wp:inline distT="0" distB="0" distL="0" distR="0" wp14:anchorId="3123587C" wp14:editId="448EBDB8">
            <wp:extent cx="3790950" cy="24098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37DE" w:rsidRDefault="00E037DE" w:rsidP="00E037DE">
      <w:pPr>
        <w:jc w:val="both"/>
      </w:pPr>
    </w:p>
    <w:p w:rsidR="00E037DE" w:rsidRDefault="00755737" w:rsidP="00E037DE">
      <w:pPr>
        <w:jc w:val="both"/>
      </w:pPr>
      <w:r>
        <w:t>Der va</w:t>
      </w:r>
      <w:r w:rsidR="00E037DE" w:rsidRPr="00667556">
        <w:t>r pr.</w:t>
      </w:r>
      <w:r>
        <w:t xml:space="preserve"> </w:t>
      </w:r>
      <w:r w:rsidR="00FC18BC">
        <w:t>10</w:t>
      </w:r>
      <w:r w:rsidR="001E1B4C">
        <w:t>/6</w:t>
      </w:r>
      <w:r w:rsidR="00E037DE" w:rsidRPr="00667556">
        <w:t>-201</w:t>
      </w:r>
      <w:r>
        <w:t>9</w:t>
      </w:r>
      <w:r w:rsidR="00E037DE" w:rsidRPr="00667556">
        <w:t xml:space="preserve"> indskrevet 6</w:t>
      </w:r>
      <w:r>
        <w:t>2</w:t>
      </w:r>
      <w:r w:rsidR="001E1B4C">
        <w:t>0</w:t>
      </w:r>
      <w:r w:rsidR="00E037DE" w:rsidRPr="00667556">
        <w:t xml:space="preserve"> </w:t>
      </w:r>
      <w:r w:rsidR="00E037DE">
        <w:t>9. kl. elever</w:t>
      </w:r>
      <w:r w:rsidR="00E037DE" w:rsidRPr="00667556">
        <w:t xml:space="preserve"> i alm. folkeskoler og privatskoler i Guldborgsund. </w:t>
      </w:r>
    </w:p>
    <w:p w:rsidR="00E037DE" w:rsidRDefault="008B0D88" w:rsidP="00E037DE">
      <w:pPr>
        <w:pStyle w:val="Listeafsnit"/>
        <w:numPr>
          <w:ilvl w:val="0"/>
          <w:numId w:val="4"/>
        </w:numPr>
        <w:jc w:val="both"/>
      </w:pPr>
      <w:r>
        <w:t>29,2</w:t>
      </w:r>
      <w:r w:rsidR="00E037DE">
        <w:t xml:space="preserve"> % er vurderet IUP i folkeskolerne.</w:t>
      </w:r>
    </w:p>
    <w:p w:rsidR="00E037DE" w:rsidRDefault="008B0D88" w:rsidP="00E037DE">
      <w:pPr>
        <w:pStyle w:val="Listeafsnit"/>
        <w:numPr>
          <w:ilvl w:val="0"/>
          <w:numId w:val="4"/>
        </w:numPr>
        <w:jc w:val="both"/>
      </w:pPr>
      <w:r>
        <w:t>15,4</w:t>
      </w:r>
      <w:r w:rsidR="00E037DE">
        <w:t xml:space="preserve"> %</w:t>
      </w:r>
      <w:r w:rsidR="00755737">
        <w:t xml:space="preserve"> er</w:t>
      </w:r>
      <w:r w:rsidR="00E037DE">
        <w:t xml:space="preserve"> vurderet IUP i privatskolerne.</w:t>
      </w:r>
    </w:p>
    <w:p w:rsidR="00E037DE" w:rsidRDefault="00E037DE" w:rsidP="00E037DE">
      <w:pPr>
        <w:pStyle w:val="Listeafsnit"/>
        <w:numPr>
          <w:ilvl w:val="0"/>
          <w:numId w:val="4"/>
        </w:numPr>
        <w:jc w:val="both"/>
      </w:pPr>
      <w:r>
        <w:t xml:space="preserve">Samlet set er </w:t>
      </w:r>
      <w:r w:rsidR="008B0D88">
        <w:t>27,4</w:t>
      </w:r>
      <w:r>
        <w:t xml:space="preserve"> % vurderet IUP i 9.kl. </w:t>
      </w:r>
      <w:r w:rsidR="00FC6BF7">
        <w:t xml:space="preserve">på folke- og privatskoler </w:t>
      </w:r>
      <w:r>
        <w:t>i Guldborgsund.</w:t>
      </w:r>
    </w:p>
    <w:p w:rsidR="00D619A1" w:rsidRDefault="008B0D88" w:rsidP="00D619A1">
      <w:pPr>
        <w:jc w:val="both"/>
      </w:pPr>
      <w:r>
        <w:t xml:space="preserve">I forhold til årets første uddannelsesparathedsvurdering d. 15/1-2019 betyder dette at </w:t>
      </w:r>
      <w:r w:rsidR="007F04DA">
        <w:t>39 elever til den s</w:t>
      </w:r>
      <w:r w:rsidR="002C66AE">
        <w:t>eneste parathedsvurdering pr. 10</w:t>
      </w:r>
      <w:r w:rsidR="007F04DA">
        <w:t xml:space="preserve">/6-2019 har ændret </w:t>
      </w:r>
      <w:r w:rsidR="007F04DA">
        <w:lastRenderedPageBreak/>
        <w:t>deres status fra at være ikke-uddannelsesparat til uddannelsesparat.</w:t>
      </w:r>
      <w:r w:rsidR="000A0DF4">
        <w:t xml:space="preserve"> Dette</w:t>
      </w:r>
      <w:r w:rsidR="007F04DA">
        <w:t xml:space="preserve"> </w:t>
      </w:r>
      <w:r w:rsidR="000A0DF4">
        <w:t>svarer til et fald på 6,6 % af ikke-uddann</w:t>
      </w:r>
      <w:r w:rsidR="00BB2C1C">
        <w:t xml:space="preserve">elsesparate elever på 9. årgang. </w:t>
      </w:r>
    </w:p>
    <w:p w:rsidR="00FC18BC" w:rsidRDefault="00FC18BC" w:rsidP="00D619A1">
      <w:pPr>
        <w:jc w:val="both"/>
      </w:pPr>
    </w:p>
    <w:p w:rsidR="00FC18BC" w:rsidRDefault="00FC18BC" w:rsidP="00FC18BC">
      <w:pPr>
        <w:jc w:val="both"/>
      </w:pPr>
      <w:r>
        <w:t xml:space="preserve">Se tabel </w:t>
      </w:r>
      <w:r w:rsidR="007515A0">
        <w:t>6-8</w:t>
      </w:r>
      <w:r>
        <w:t xml:space="preserve"> for tallene for uddannelsesparathedsvurderingen for 9. årgang på både folke- og privatskolerne i Guldborgsund. I tabellerne kan man se den seneste UPV pr. 10/6-2019 og årets første UPV pr. 15/1-2019  </w:t>
      </w:r>
    </w:p>
    <w:p w:rsidR="008B0D88" w:rsidRPr="000A0DF4" w:rsidRDefault="007515A0" w:rsidP="00D619A1">
      <w:pPr>
        <w:jc w:val="both"/>
        <w:rPr>
          <w:i/>
        </w:rPr>
      </w:pPr>
      <w:r>
        <w:rPr>
          <w:i/>
        </w:rPr>
        <w:t>Tabel 6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32"/>
        <w:gridCol w:w="1080"/>
        <w:gridCol w:w="1080"/>
        <w:gridCol w:w="1080"/>
      </w:tblGrid>
      <w:tr w:rsidR="000A0DF4" w:rsidRPr="000A0DF4" w:rsidTr="000A0DF4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Folkeskoler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A0DF4" w:rsidRPr="000A0DF4" w:rsidTr="000A0DF4">
        <w:trPr>
          <w:trHeight w:val="28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FC18BC" w:rsidP="000A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10</w:t>
            </w:r>
            <w:r w:rsidR="000A0DF4" w:rsidRPr="000A0DF4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0A0DF4" w:rsidRPr="000A0DF4" w:rsidTr="000A0DF4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 xml:space="preserve">Antal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0A0DF4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0A0DF4" w:rsidRPr="000A0DF4" w:rsidTr="000A0DF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63,7%</w:t>
            </w:r>
          </w:p>
        </w:tc>
      </w:tr>
      <w:tr w:rsidR="000A0DF4" w:rsidRPr="000A0DF4" w:rsidTr="000A0DF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29,2%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36,3%</w:t>
            </w:r>
          </w:p>
        </w:tc>
      </w:tr>
      <w:tr w:rsidR="000A0DF4" w:rsidRPr="000A0DF4" w:rsidTr="000A0DF4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A0DF4" w:rsidRPr="000A0DF4" w:rsidRDefault="000A0DF4" w:rsidP="000A0DF4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A0DF4" w:rsidRPr="000A0DF4" w:rsidRDefault="000A0DF4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0A0DF4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8B0D88" w:rsidRDefault="008B0D88" w:rsidP="00D619A1">
      <w:pPr>
        <w:jc w:val="both"/>
      </w:pPr>
    </w:p>
    <w:p w:rsidR="00791C17" w:rsidRPr="00791C17" w:rsidRDefault="007515A0" w:rsidP="00D619A1">
      <w:pPr>
        <w:jc w:val="both"/>
        <w:rPr>
          <w:i/>
        </w:rPr>
      </w:pPr>
      <w:r>
        <w:rPr>
          <w:i/>
        </w:rPr>
        <w:t>Tabel 7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132"/>
        <w:gridCol w:w="1080"/>
        <w:gridCol w:w="1080"/>
        <w:gridCol w:w="1080"/>
      </w:tblGrid>
      <w:tr w:rsidR="00791C17" w:rsidRPr="00791C17" w:rsidTr="00791C17">
        <w:trPr>
          <w:trHeight w:val="28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 xml:space="preserve">Privatskoler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91C17" w:rsidRPr="00791C17" w:rsidTr="00791C17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FC18BC" w:rsidP="0079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10</w:t>
            </w:r>
            <w:r w:rsidR="00791C17" w:rsidRPr="00791C17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791C17" w:rsidRPr="00791C17" w:rsidTr="00791C17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 xml:space="preserve">Antal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91C17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791C17" w:rsidRPr="00791C17" w:rsidTr="00791C17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84,6%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81,3%</w:t>
            </w:r>
          </w:p>
        </w:tc>
      </w:tr>
      <w:tr w:rsidR="00791C17" w:rsidRPr="00791C17" w:rsidTr="00791C17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15,4%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18,8%</w:t>
            </w:r>
          </w:p>
        </w:tc>
      </w:tr>
      <w:tr w:rsidR="00791C17" w:rsidRPr="00791C17" w:rsidTr="00791C17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91C17" w:rsidRPr="00791C17" w:rsidRDefault="00791C17" w:rsidP="00791C17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91C17" w:rsidRPr="00791C17" w:rsidRDefault="00791C17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791C17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66351C" w:rsidRDefault="0066351C" w:rsidP="00205629">
      <w:pPr>
        <w:pStyle w:val="OverskriftRd"/>
      </w:pPr>
    </w:p>
    <w:p w:rsidR="00791C17" w:rsidRPr="00791C17" w:rsidRDefault="007515A0" w:rsidP="00791C17">
      <w:pPr>
        <w:jc w:val="both"/>
        <w:rPr>
          <w:i/>
        </w:rPr>
      </w:pPr>
      <w:r>
        <w:rPr>
          <w:i/>
        </w:rPr>
        <w:t>Tabel 8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28"/>
        <w:gridCol w:w="1331"/>
        <w:gridCol w:w="1028"/>
        <w:gridCol w:w="1080"/>
      </w:tblGrid>
      <w:tr w:rsidR="00FC18BC" w:rsidRPr="00FC18BC" w:rsidTr="00FC18BC">
        <w:trPr>
          <w:trHeight w:val="285"/>
        </w:trPr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Samlet tal for</w:t>
            </w: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 xml:space="preserve"> folke- og privatskoler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</w:tr>
      <w:tr w:rsidR="00FC18BC" w:rsidRPr="00FC18BC" w:rsidTr="00FC18BC">
        <w:trPr>
          <w:trHeight w:val="28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10</w:t>
            </w: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FC18BC" w:rsidRPr="00FC18BC" w:rsidTr="00FC18BC">
        <w:trPr>
          <w:trHeight w:val="2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FC18BC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FC18BC" w:rsidRPr="00FC18BC" w:rsidTr="00FC18BC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450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72,6%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66,0%</w:t>
            </w:r>
          </w:p>
        </w:tc>
      </w:tr>
      <w:tr w:rsidR="00FC18BC" w:rsidRPr="00FC18BC" w:rsidTr="00FC18BC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27,4%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34,0%</w:t>
            </w:r>
          </w:p>
        </w:tc>
      </w:tr>
      <w:tr w:rsidR="00FC18BC" w:rsidRPr="00FC18BC" w:rsidTr="00FC18BC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C18BC" w:rsidRPr="00FC18BC" w:rsidRDefault="00FC18BC" w:rsidP="00FC18BC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620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C18BC" w:rsidRPr="00FC18BC" w:rsidRDefault="00FC18BC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FC18BC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0A0DF4" w:rsidRDefault="000A0DF4" w:rsidP="00205629">
      <w:pPr>
        <w:pStyle w:val="OverskriftRd"/>
      </w:pPr>
    </w:p>
    <w:p w:rsidR="000A0DF4" w:rsidRPr="00BD3E70" w:rsidRDefault="00BD3E70" w:rsidP="00BD3E70">
      <w:r>
        <w:t>Det skal desuden bemærkes at 34 elever er vurderet ”delvis parate”, hvilket betyder at deres sociale, personlige og praksisfaglige kompetencer er i orden, men de har ikke opnået det påkrævede karaktergennemsnit til deres ønskede ungdomsuddannelse. Disse elever k</w:t>
      </w:r>
      <w:r w:rsidR="00201AF7">
        <w:t>an vælge at</w:t>
      </w:r>
      <w:r w:rsidR="00E36B45">
        <w:t xml:space="preserve"> forsøge, at</w:t>
      </w:r>
      <w:r w:rsidR="00201AF7">
        <w:t xml:space="preserve"> komme ind via en optagelsesprøve.</w:t>
      </w:r>
      <w:r>
        <w:t xml:space="preserve"> </w:t>
      </w:r>
    </w:p>
    <w:p w:rsidR="00205629" w:rsidRPr="00205629" w:rsidRDefault="00205629" w:rsidP="00205629">
      <w:pPr>
        <w:pStyle w:val="OverskriftRd"/>
      </w:pPr>
      <w:r>
        <w:t>10.klasse</w:t>
      </w:r>
      <w:r w:rsidR="009D3656">
        <w:t xml:space="preserve"> Uddannelseparathedsvurdering pr. </w:t>
      </w:r>
      <w:r w:rsidR="001E6AD2">
        <w:t xml:space="preserve">10/6 </w:t>
      </w:r>
      <w:r w:rsidR="009D3656">
        <w:t>2019</w:t>
      </w:r>
    </w:p>
    <w:p w:rsidR="00E037DE" w:rsidRDefault="00AE1694" w:rsidP="00E037DE">
      <w:pPr>
        <w:jc w:val="both"/>
      </w:pPr>
      <w:r>
        <w:t xml:space="preserve">Nedenstående tabel </w:t>
      </w:r>
      <w:r w:rsidR="005A1FB2">
        <w:t>9</w:t>
      </w:r>
      <w:r w:rsidR="00E037DE">
        <w:t xml:space="preserve"> viser fordelingen af uddannelsesparate (UP) og ikke-uddannelsesparate (IUP) 10.</w:t>
      </w:r>
      <w:r w:rsidR="00344601">
        <w:t xml:space="preserve"> </w:t>
      </w:r>
      <w:r w:rsidR="00E037DE">
        <w:t>klasses elever på henholdsvis folke- og privatskoler i Guldborgsund.</w:t>
      </w:r>
    </w:p>
    <w:p w:rsidR="00E037DE" w:rsidRDefault="00DE49DF" w:rsidP="00E037DE">
      <w:pPr>
        <w:jc w:val="both"/>
        <w:rPr>
          <w:i/>
        </w:rPr>
      </w:pPr>
      <w:r>
        <w:rPr>
          <w:i/>
        </w:rPr>
        <w:t>Tabel 9</w:t>
      </w:r>
    </w:p>
    <w:p w:rsidR="0038207C" w:rsidRDefault="00885D48" w:rsidP="00E037DE">
      <w:pPr>
        <w:jc w:val="both"/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6A667DDA" wp14:editId="6868D3B1">
            <wp:extent cx="3800475" cy="2952750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0F39" w:rsidRDefault="00640F39" w:rsidP="00640F39">
      <w:pPr>
        <w:jc w:val="both"/>
      </w:pPr>
      <w:r>
        <w:t>Der va</w:t>
      </w:r>
      <w:r w:rsidRPr="00667556">
        <w:t>r pr.</w:t>
      </w:r>
      <w:r>
        <w:t xml:space="preserve"> 10/6</w:t>
      </w:r>
      <w:r w:rsidRPr="00667556">
        <w:t>-201</w:t>
      </w:r>
      <w:r>
        <w:t>9</w:t>
      </w:r>
      <w:r w:rsidRPr="00667556">
        <w:t xml:space="preserve"> indskrevet </w:t>
      </w:r>
      <w:r>
        <w:t>162 i 10. kl. elever</w:t>
      </w:r>
      <w:r w:rsidRPr="00667556">
        <w:t xml:space="preserve"> i alm. folkeskoler og privatskoler i Guldborgsund. </w:t>
      </w:r>
    </w:p>
    <w:p w:rsidR="00640F39" w:rsidRDefault="00640F39" w:rsidP="00640F39">
      <w:pPr>
        <w:pStyle w:val="Listeafsnit"/>
        <w:numPr>
          <w:ilvl w:val="0"/>
          <w:numId w:val="4"/>
        </w:numPr>
        <w:jc w:val="both"/>
      </w:pPr>
      <w:r>
        <w:t>44,2 % er vurderet IUP i folkeskolerne.</w:t>
      </w:r>
    </w:p>
    <w:p w:rsidR="00640F39" w:rsidRDefault="00640F39" w:rsidP="00640F39">
      <w:pPr>
        <w:pStyle w:val="Listeafsnit"/>
        <w:numPr>
          <w:ilvl w:val="0"/>
          <w:numId w:val="4"/>
        </w:numPr>
        <w:jc w:val="both"/>
      </w:pPr>
      <w:r>
        <w:t>12 % er vurderet IUP i privatskolerne.</w:t>
      </w:r>
    </w:p>
    <w:p w:rsidR="00640F39" w:rsidRDefault="00640F39" w:rsidP="000E08F1">
      <w:pPr>
        <w:pStyle w:val="Listeafsnit"/>
        <w:numPr>
          <w:ilvl w:val="0"/>
          <w:numId w:val="4"/>
        </w:numPr>
        <w:jc w:val="both"/>
      </w:pPr>
      <w:r>
        <w:t>Samlet set er 42 % vurderet IUP i 9.kl. på folke- og privatskoler i Guldborgsund.</w:t>
      </w:r>
    </w:p>
    <w:p w:rsidR="001E5665" w:rsidRDefault="001E5665" w:rsidP="001E5665">
      <w:pPr>
        <w:pStyle w:val="Listeafsnit"/>
        <w:numPr>
          <w:ilvl w:val="0"/>
          <w:numId w:val="4"/>
        </w:numPr>
        <w:jc w:val="both"/>
      </w:pPr>
      <w:r>
        <w:t xml:space="preserve">*8 elever tager i år et særlig tilrettelagt 10. klasses år på deres egen grundskole i Guldborgsund. Vi har valgt at tildele dem deres egen kategori i dette skoleår. Elevgruppen tæller stadig med i den samlede IUP statistik.  </w:t>
      </w:r>
    </w:p>
    <w:p w:rsidR="001E5665" w:rsidRDefault="001E5665" w:rsidP="001E5665">
      <w:pPr>
        <w:ind w:left="360"/>
        <w:jc w:val="both"/>
      </w:pPr>
    </w:p>
    <w:p w:rsidR="009462D7" w:rsidRDefault="003467AA" w:rsidP="00FD0698">
      <w:pPr>
        <w:pStyle w:val="Listeafsnit"/>
        <w:numPr>
          <w:ilvl w:val="0"/>
          <w:numId w:val="19"/>
        </w:numPr>
        <w:jc w:val="both"/>
      </w:pPr>
      <w:r>
        <w:t>18</w:t>
      </w:r>
      <w:r w:rsidR="009462D7">
        <w:t xml:space="preserve"> af de elever der er vurderet IUP i folkeskolen er vurderet ”delvis parat” dvs. deres personlige, sociale og praksisfaglige forudsætninger er i orden, men mangler at opnå det faglige krav for at kunne blive vurderet uddannelsesparat til opstart på en ungdomsuddannelse. </w:t>
      </w:r>
      <w:r w:rsidR="00E36B45">
        <w:t>Disse elever kan vælge at forsøge, at komme ind via en optagelsesprøve.</w:t>
      </w:r>
    </w:p>
    <w:p w:rsidR="001E5665" w:rsidRDefault="001E5665" w:rsidP="00FD0698">
      <w:pPr>
        <w:pStyle w:val="Listeafsnit"/>
        <w:jc w:val="both"/>
      </w:pPr>
    </w:p>
    <w:p w:rsidR="001E5665" w:rsidRDefault="001E5665" w:rsidP="00D674F3">
      <w:pPr>
        <w:pStyle w:val="Listeafsnit"/>
        <w:numPr>
          <w:ilvl w:val="0"/>
          <w:numId w:val="19"/>
        </w:numPr>
        <w:jc w:val="both"/>
      </w:pPr>
      <w:r>
        <w:t>I forhold til årets første uddannelsesparathedsvurdering d. 15/1-2019 betyder dette et samlet fald på 9,6% af IUP elever ved den seneste parathedsvurdering pr. 25/6-2019 på 8. årgang</w:t>
      </w:r>
      <w:r w:rsidR="00873303">
        <w:t>.</w:t>
      </w:r>
    </w:p>
    <w:p w:rsidR="00E36B45" w:rsidRDefault="00E36B45" w:rsidP="00FD0698">
      <w:pPr>
        <w:jc w:val="both"/>
      </w:pPr>
      <w:r>
        <w:t xml:space="preserve">Se tabel </w:t>
      </w:r>
      <w:r w:rsidR="00DE49DF">
        <w:t>10-12</w:t>
      </w:r>
      <w:r>
        <w:t xml:space="preserve"> for tallene for uddannelsesparathedsvurderingen for 10. årgang på både folke- og privatskolerne i Guldborgsund. I tabellerne kan man se den seneste UPV pr. 10/6-2019 og årets første UPV pr. 15/1-2019  </w:t>
      </w:r>
    </w:p>
    <w:p w:rsidR="00873303" w:rsidRDefault="00873303" w:rsidP="00FD0698">
      <w:pPr>
        <w:jc w:val="both"/>
      </w:pPr>
    </w:p>
    <w:p w:rsidR="00E36B45" w:rsidRDefault="00DE49DF" w:rsidP="009462D7">
      <w:pPr>
        <w:jc w:val="both"/>
        <w:rPr>
          <w:i/>
        </w:rPr>
      </w:pPr>
      <w:r>
        <w:rPr>
          <w:i/>
        </w:rPr>
        <w:t>Tabel 10</w:t>
      </w:r>
    </w:p>
    <w:tbl>
      <w:tblPr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275"/>
        <w:gridCol w:w="1218"/>
        <w:gridCol w:w="1216"/>
        <w:gridCol w:w="1218"/>
      </w:tblGrid>
      <w:tr w:rsidR="008155A6" w:rsidRPr="008155A6" w:rsidTr="00F76A4A">
        <w:trPr>
          <w:trHeight w:val="365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Folkeskoler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55A6" w:rsidRPr="008155A6" w:rsidTr="00F76A4A">
        <w:trPr>
          <w:trHeight w:val="36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Pr. 10/6-2019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8155A6" w:rsidRPr="008155A6" w:rsidTr="00F76A4A">
        <w:trPr>
          <w:trHeight w:val="34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8155A6" w:rsidRPr="008155A6" w:rsidTr="00F76A4A">
        <w:trPr>
          <w:trHeight w:val="3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55,8%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46,1%</w:t>
            </w:r>
          </w:p>
        </w:tc>
      </w:tr>
      <w:tr w:rsidR="008155A6" w:rsidRPr="008155A6" w:rsidTr="00F76A4A">
        <w:trPr>
          <w:trHeight w:val="3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44,2%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53,9%</w:t>
            </w:r>
          </w:p>
        </w:tc>
      </w:tr>
      <w:tr w:rsidR="008155A6" w:rsidRPr="008155A6" w:rsidTr="00F76A4A">
        <w:trPr>
          <w:trHeight w:val="3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129</w:t>
            </w:r>
          </w:p>
        </w:tc>
        <w:tc>
          <w:tcPr>
            <w:tcW w:w="12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21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128</w:t>
            </w:r>
          </w:p>
        </w:tc>
        <w:tc>
          <w:tcPr>
            <w:tcW w:w="12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F36AC2" w:rsidRDefault="00F36AC2" w:rsidP="009462D7">
      <w:pPr>
        <w:jc w:val="both"/>
        <w:rPr>
          <w:i/>
        </w:rPr>
      </w:pPr>
    </w:p>
    <w:p w:rsidR="008155A6" w:rsidRDefault="00DE49DF" w:rsidP="009462D7">
      <w:pPr>
        <w:jc w:val="both"/>
        <w:rPr>
          <w:i/>
        </w:rPr>
      </w:pPr>
      <w:r>
        <w:rPr>
          <w:i/>
        </w:rPr>
        <w:t>Tabel 11</w:t>
      </w:r>
    </w:p>
    <w:tbl>
      <w:tblPr>
        <w:tblW w:w="6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83"/>
        <w:gridCol w:w="1224"/>
        <w:gridCol w:w="1222"/>
        <w:gridCol w:w="1224"/>
      </w:tblGrid>
      <w:tr w:rsidR="008155A6" w:rsidRPr="008155A6" w:rsidTr="00F76A4A">
        <w:trPr>
          <w:trHeight w:val="322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Privatskoler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155A6" w:rsidRPr="008155A6" w:rsidTr="00F76A4A">
        <w:trPr>
          <w:trHeight w:val="322"/>
        </w:trPr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Pr. 10/6-2019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8155A6" w:rsidRPr="008155A6" w:rsidTr="00F76A4A">
        <w:trPr>
          <w:trHeight w:val="32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155A6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8155A6" w:rsidRPr="008155A6" w:rsidTr="00F76A4A">
        <w:trPr>
          <w:trHeight w:val="33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88,0%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76,0%</w:t>
            </w:r>
          </w:p>
        </w:tc>
      </w:tr>
      <w:tr w:rsidR="008155A6" w:rsidRPr="008155A6" w:rsidTr="00F76A4A">
        <w:trPr>
          <w:trHeight w:val="33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12,0%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24,0%</w:t>
            </w:r>
          </w:p>
        </w:tc>
      </w:tr>
      <w:tr w:rsidR="008155A6" w:rsidRPr="008155A6" w:rsidTr="00F76A4A">
        <w:trPr>
          <w:trHeight w:val="33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155A6" w:rsidRPr="008155A6" w:rsidRDefault="008155A6" w:rsidP="00815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155A6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F36AC2" w:rsidRDefault="00F36AC2" w:rsidP="009462D7">
      <w:pPr>
        <w:jc w:val="both"/>
        <w:rPr>
          <w:i/>
        </w:rPr>
      </w:pPr>
    </w:p>
    <w:p w:rsidR="001E5665" w:rsidRDefault="001E5665" w:rsidP="009462D7">
      <w:pPr>
        <w:jc w:val="both"/>
        <w:rPr>
          <w:i/>
        </w:rPr>
      </w:pPr>
    </w:p>
    <w:p w:rsidR="008155A6" w:rsidRPr="008155A6" w:rsidRDefault="00DE49DF" w:rsidP="009462D7">
      <w:pPr>
        <w:jc w:val="both"/>
        <w:rPr>
          <w:i/>
        </w:rPr>
      </w:pPr>
      <w:r>
        <w:rPr>
          <w:i/>
        </w:rPr>
        <w:t>Tabel 12</w:t>
      </w:r>
    </w:p>
    <w:tbl>
      <w:tblPr>
        <w:tblW w:w="6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50"/>
        <w:gridCol w:w="1621"/>
        <w:gridCol w:w="979"/>
        <w:gridCol w:w="1201"/>
      </w:tblGrid>
      <w:tr w:rsidR="0083016E" w:rsidRPr="0083016E" w:rsidTr="00983D32">
        <w:trPr>
          <w:trHeight w:val="321"/>
        </w:trPr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6E" w:rsidRPr="0083016E" w:rsidRDefault="00421B45" w:rsidP="00983D3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Samlet tal for</w:t>
            </w:r>
            <w:r w:rsidR="0083016E" w:rsidRPr="0083016E">
              <w:rPr>
                <w:rFonts w:ascii="Arial" w:eastAsia="Times New Roman" w:hAnsi="Arial" w:cs="Arial"/>
                <w:sz w:val="22"/>
                <w:lang w:eastAsia="da-DK"/>
              </w:rPr>
              <w:t xml:space="preserve"> folke- og privatskoler</w:t>
            </w:r>
            <w:r w:rsidR="00526F2F">
              <w:rPr>
                <w:rFonts w:ascii="Arial" w:eastAsia="Times New Roman" w:hAnsi="Arial" w:cs="Arial"/>
                <w:sz w:val="22"/>
                <w:lang w:eastAsia="da-DK"/>
              </w:rPr>
              <w:t xml:space="preserve"> (herunder 10.kl. i andet tilbud)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3016E" w:rsidRPr="0083016E" w:rsidTr="00983D32">
        <w:trPr>
          <w:trHeight w:val="305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FA2D5E" w:rsidP="008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Pr. 10</w:t>
            </w:r>
            <w:r w:rsidR="0083016E" w:rsidRPr="0083016E">
              <w:rPr>
                <w:rFonts w:ascii="Arial" w:eastAsia="Times New Roman" w:hAnsi="Arial" w:cs="Arial"/>
                <w:sz w:val="22"/>
                <w:lang w:eastAsia="da-DK"/>
              </w:rPr>
              <w:t>/6-2019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Pr. 1/15-2019</w:t>
            </w:r>
          </w:p>
        </w:tc>
      </w:tr>
      <w:tr w:rsidR="0083016E" w:rsidRPr="0083016E" w:rsidTr="00983D32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Antal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83016E">
              <w:rPr>
                <w:rFonts w:ascii="Arial" w:eastAsia="Times New Roman" w:hAnsi="Arial" w:cs="Arial"/>
                <w:sz w:val="22"/>
                <w:lang w:eastAsia="da-DK"/>
              </w:rPr>
              <w:t>%</w:t>
            </w:r>
          </w:p>
        </w:tc>
      </w:tr>
      <w:tr w:rsidR="008155A6" w:rsidRPr="0083016E" w:rsidTr="00983D32">
        <w:trPr>
          <w:trHeight w:val="3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UP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58,0%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006100"/>
                <w:sz w:val="22"/>
                <w:lang w:eastAsia="da-DK"/>
              </w:rPr>
              <w:t>48,4%</w:t>
            </w:r>
          </w:p>
        </w:tc>
      </w:tr>
      <w:tr w:rsidR="008155A6" w:rsidRPr="0083016E" w:rsidTr="00983D32">
        <w:trPr>
          <w:trHeight w:val="3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IUP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42,0%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0006"/>
                <w:sz w:val="22"/>
                <w:lang w:eastAsia="da-DK"/>
              </w:rPr>
              <w:t>51,6%</w:t>
            </w:r>
          </w:p>
        </w:tc>
      </w:tr>
      <w:tr w:rsidR="008155A6" w:rsidRPr="0083016E" w:rsidTr="00983D32">
        <w:trPr>
          <w:trHeight w:val="3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3016E" w:rsidRPr="0083016E" w:rsidRDefault="0083016E" w:rsidP="0083016E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162</w:t>
            </w:r>
          </w:p>
        </w:tc>
        <w:tc>
          <w:tcPr>
            <w:tcW w:w="16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  <w:tc>
          <w:tcPr>
            <w:tcW w:w="97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161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EB9C"/>
            <w:noWrap/>
            <w:vAlign w:val="bottom"/>
            <w:hideMark/>
          </w:tcPr>
          <w:p w:rsidR="0083016E" w:rsidRPr="0083016E" w:rsidRDefault="0083016E" w:rsidP="00B5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</w:pPr>
            <w:r w:rsidRPr="0083016E">
              <w:rPr>
                <w:rFonts w:ascii="Calibri" w:eastAsia="Times New Roman" w:hAnsi="Calibri" w:cs="Calibri"/>
                <w:color w:val="9C6500"/>
                <w:sz w:val="22"/>
                <w:lang w:eastAsia="da-DK"/>
              </w:rPr>
              <w:t>100,0%</w:t>
            </w:r>
          </w:p>
        </w:tc>
      </w:tr>
    </w:tbl>
    <w:p w:rsidR="00DA0C87" w:rsidRDefault="00DA0C87" w:rsidP="00F106B5">
      <w:pPr>
        <w:jc w:val="both"/>
        <w:rPr>
          <w:b/>
        </w:rPr>
      </w:pPr>
    </w:p>
    <w:p w:rsidR="00EF703A" w:rsidRDefault="009152EA" w:rsidP="00FD0698">
      <w:pPr>
        <w:jc w:val="both"/>
      </w:pPr>
      <w:r>
        <w:t xml:space="preserve">Data vedrørende 9 &amp; 10.kl er udtrukket via fagsystemet UNOUNG d. 12/6-2019. </w:t>
      </w:r>
      <w:r w:rsidR="00F85F4C">
        <w:t xml:space="preserve">Data </w:t>
      </w:r>
      <w:r w:rsidR="003467AA">
        <w:t>vedrørende 9 &amp; 10.kl er</w:t>
      </w:r>
      <w:r w:rsidR="00F85F4C">
        <w:t xml:space="preserve"> udtrukket via fagsystemet UNOUNG d.</w:t>
      </w:r>
      <w:r w:rsidR="003467AA">
        <w:t xml:space="preserve"> 12/6</w:t>
      </w:r>
      <w:r w:rsidR="00F85F4C">
        <w:t>-2019</w:t>
      </w:r>
      <w:r w:rsidR="00F76A4A">
        <w:t>.</w:t>
      </w:r>
    </w:p>
    <w:p w:rsidR="00873303" w:rsidRDefault="00873303" w:rsidP="00F85F4C"/>
    <w:p w:rsidR="00873303" w:rsidRDefault="00873303" w:rsidP="00F85F4C">
      <w:r>
        <w:rPr>
          <w:rFonts w:ascii="Helvetica" w:hAnsi="Helvetica"/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19686</wp:posOffset>
            </wp:positionV>
            <wp:extent cx="1257300" cy="1257300"/>
            <wp:effectExtent l="0" t="0" r="0" b="0"/>
            <wp:wrapNone/>
            <wp:docPr id="9" name="Billede 9" descr="Sun With Face on Messenger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 With Face on Messenger 1.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65" w:rsidRDefault="001E5665" w:rsidP="00F85F4C"/>
    <w:p w:rsidR="00B91952" w:rsidRDefault="00B91952" w:rsidP="00F85F4C"/>
    <w:p w:rsidR="00B91952" w:rsidRDefault="00B91952" w:rsidP="00F85F4C"/>
    <w:p w:rsidR="00B91952" w:rsidRDefault="00B91952" w:rsidP="00F85F4C"/>
    <w:p w:rsidR="002C3C93" w:rsidRDefault="002C3C93" w:rsidP="002C3C93">
      <w:pPr>
        <w:jc w:val="center"/>
      </w:pPr>
    </w:p>
    <w:p w:rsidR="00FD0698" w:rsidRDefault="002C3C93" w:rsidP="001E5665">
      <w:pPr>
        <w:jc w:val="both"/>
      </w:pPr>
      <w:r>
        <w:t xml:space="preserve">UU Guldborgsund ønsker alle vores samarbejdspartnere en god sommerferie og glæder os meget til det nye skoleår, hvor </w:t>
      </w:r>
      <w:r w:rsidR="001E5665">
        <w:t>den nye kommunale ungeindsats betyde</w:t>
      </w:r>
      <w:r w:rsidR="00FD0698">
        <w:t>r</w:t>
      </w:r>
      <w:r w:rsidR="001E5665">
        <w:t>, at vi kommer til at arbejde endnu tættere sammen med alle involverede parter.</w:t>
      </w:r>
      <w:r w:rsidR="00FD0698">
        <w:t xml:space="preserve"> VI GLÆDER OS!</w:t>
      </w:r>
      <w:r w:rsidR="001E5665">
        <w:t xml:space="preserve"> </w:t>
      </w:r>
    </w:p>
    <w:p w:rsidR="002C3C93" w:rsidRDefault="001E5665" w:rsidP="001E5665">
      <w:pPr>
        <w:jc w:val="both"/>
      </w:pPr>
      <w:proofErr w:type="spellStart"/>
      <w:r>
        <w:lastRenderedPageBreak/>
        <w:t>FGU’en</w:t>
      </w:r>
      <w:proofErr w:type="spellEnd"/>
      <w:r>
        <w:t xml:space="preserve"> bliver en essentiel del af den kommunale ungeindsats</w:t>
      </w:r>
      <w:r w:rsidR="00897CA8">
        <w:t>,</w:t>
      </w:r>
      <w:r>
        <w:t xml:space="preserve"> og UU Guldborgsund arbejder pt. på højtryk for at lave uddannelsesplaner og målgruppevurderinger </w:t>
      </w:r>
      <w:r w:rsidR="00FD0698">
        <w:t>med alle de unge</w:t>
      </w:r>
      <w:r w:rsidR="00897CA8">
        <w:t>,</w:t>
      </w:r>
      <w:r w:rsidR="00FD0698">
        <w:t xml:space="preserve"> der påtænker en opstart efter sommerferien. </w:t>
      </w:r>
    </w:p>
    <w:p w:rsidR="00FD0698" w:rsidRPr="00FD0698" w:rsidRDefault="00FD0698" w:rsidP="00FD0698">
      <w:pPr>
        <w:jc w:val="center"/>
        <w:rPr>
          <w:b/>
        </w:rPr>
      </w:pPr>
      <w:r w:rsidRPr="00FD0698">
        <w:rPr>
          <w:b/>
        </w:rPr>
        <w:t>GOD SOMMERFERIE!</w:t>
      </w:r>
    </w:p>
    <w:p w:rsidR="002C3C93" w:rsidRDefault="002C3C93" w:rsidP="00F85F4C"/>
    <w:p w:rsidR="002C3C93" w:rsidRDefault="002C3C93" w:rsidP="00F85F4C"/>
    <w:sectPr w:rsidR="002C3C93" w:rsidSect="002A4E90">
      <w:footerReference w:type="default" r:id="rId15"/>
      <w:headerReference w:type="first" r:id="rId16"/>
      <w:pgSz w:w="16838" w:h="11906" w:orient="landscape"/>
      <w:pgMar w:top="720" w:right="720" w:bottom="720" w:left="720" w:header="709" w:footer="709" w:gutter="0"/>
      <w:cols w:num="2" w:space="34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D" w:rsidRDefault="003F7E7D" w:rsidP="00FA2EFE">
      <w:pPr>
        <w:spacing w:line="240" w:lineRule="auto"/>
      </w:pPr>
      <w:r>
        <w:separator/>
      </w:r>
    </w:p>
  </w:endnote>
  <w:endnote w:type="continuationSeparator" w:id="0">
    <w:p w:rsidR="003F7E7D" w:rsidRDefault="003F7E7D" w:rsidP="00FA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B1" w:rsidRPr="003079B1" w:rsidRDefault="006443D2" w:rsidP="003079B1">
    <w:pPr>
      <w:pStyle w:val="Sidefod"/>
    </w:pPr>
    <w:r>
      <w:t xml:space="preserve">Kvartalsrapport </w:t>
    </w:r>
    <w:r w:rsidR="00951FAB">
      <w:t>2</w:t>
    </w:r>
    <w:r w:rsidR="003079B1">
      <w:t>. kvartal 201</w:t>
    </w:r>
    <w:r w:rsidR="007549BF">
      <w:t>9</w:t>
    </w:r>
    <w:r w:rsidR="003079B1">
      <w:t>, UU Guldborgsund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D" w:rsidRDefault="003F7E7D" w:rsidP="00FA2EFE">
      <w:pPr>
        <w:spacing w:line="240" w:lineRule="auto"/>
      </w:pPr>
      <w:r>
        <w:separator/>
      </w:r>
    </w:p>
  </w:footnote>
  <w:footnote w:type="continuationSeparator" w:id="0">
    <w:p w:rsidR="003F7E7D" w:rsidRDefault="003F7E7D" w:rsidP="00FA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BF" w:rsidRDefault="003F7E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5499735</wp:posOffset>
          </wp:positionH>
          <wp:positionV relativeFrom="page">
            <wp:posOffset>593725</wp:posOffset>
          </wp:positionV>
          <wp:extent cx="1447800" cy="73342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144145</wp:posOffset>
              </wp:positionV>
              <wp:extent cx="5349875" cy="7272020"/>
              <wp:effectExtent l="0" t="0" r="3175" b="508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49875" cy="7272020"/>
                      </a:xfrm>
                      <a:prstGeom prst="rect">
                        <a:avLst/>
                      </a:prstGeom>
                      <a:solidFill>
                        <a:srgbClr val="C4262D"/>
                      </a:solidFill>
                      <a:ln>
                        <a:solidFill>
                          <a:srgbClr val="C426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DF63F" id="Rektangel 2" o:spid="_x0000_s1026" style="position:absolute;margin-left:0;margin-top:11.35pt;width:421.25pt;height:5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" fillcolor="#c4262d" strokecolor="#c4262d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861"/>
    <w:multiLevelType w:val="hybridMultilevel"/>
    <w:tmpl w:val="527A8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5A6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135E"/>
    <w:multiLevelType w:val="hybridMultilevel"/>
    <w:tmpl w:val="F11C7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51A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094E"/>
    <w:multiLevelType w:val="multilevel"/>
    <w:tmpl w:val="6F1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D85"/>
    <w:multiLevelType w:val="hybridMultilevel"/>
    <w:tmpl w:val="7F648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547B7"/>
    <w:multiLevelType w:val="hybridMultilevel"/>
    <w:tmpl w:val="F7CE3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B37"/>
    <w:multiLevelType w:val="hybridMultilevel"/>
    <w:tmpl w:val="F1B44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24CA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CA2"/>
    <w:multiLevelType w:val="hybridMultilevel"/>
    <w:tmpl w:val="E1BA3D14"/>
    <w:lvl w:ilvl="0" w:tplc="15AE3BD6">
      <w:start w:val="9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55F8"/>
    <w:multiLevelType w:val="hybridMultilevel"/>
    <w:tmpl w:val="C5E2FB2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A01771"/>
    <w:multiLevelType w:val="hybridMultilevel"/>
    <w:tmpl w:val="DB806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3D57"/>
    <w:multiLevelType w:val="hybridMultilevel"/>
    <w:tmpl w:val="3168DC94"/>
    <w:lvl w:ilvl="0" w:tplc="E094086A">
      <w:start w:val="9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5D73"/>
    <w:multiLevelType w:val="hybridMultilevel"/>
    <w:tmpl w:val="B4DA9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4439"/>
    <w:multiLevelType w:val="hybridMultilevel"/>
    <w:tmpl w:val="1124E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83AC4"/>
    <w:multiLevelType w:val="multilevel"/>
    <w:tmpl w:val="60E0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76603"/>
    <w:multiLevelType w:val="hybridMultilevel"/>
    <w:tmpl w:val="A47236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C55890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65B2F"/>
    <w:multiLevelType w:val="hybridMultilevel"/>
    <w:tmpl w:val="A9247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0"/>
  </w:num>
  <w:num w:numId="17">
    <w:abstractNumId w:val="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D"/>
    <w:rsid w:val="000005B7"/>
    <w:rsid w:val="00001069"/>
    <w:rsid w:val="000075CC"/>
    <w:rsid w:val="00013762"/>
    <w:rsid w:val="00021E3F"/>
    <w:rsid w:val="00023A72"/>
    <w:rsid w:val="0003423D"/>
    <w:rsid w:val="000375D9"/>
    <w:rsid w:val="00041343"/>
    <w:rsid w:val="00041BC3"/>
    <w:rsid w:val="000444D3"/>
    <w:rsid w:val="00045A56"/>
    <w:rsid w:val="00050EC9"/>
    <w:rsid w:val="000529FC"/>
    <w:rsid w:val="000575DF"/>
    <w:rsid w:val="000614CD"/>
    <w:rsid w:val="000710EC"/>
    <w:rsid w:val="0007704D"/>
    <w:rsid w:val="000A089B"/>
    <w:rsid w:val="000A0DF4"/>
    <w:rsid w:val="000B1165"/>
    <w:rsid w:val="000B3A87"/>
    <w:rsid w:val="000C37E1"/>
    <w:rsid w:val="000C4210"/>
    <w:rsid w:val="000D59EC"/>
    <w:rsid w:val="000D6D4E"/>
    <w:rsid w:val="000E0711"/>
    <w:rsid w:val="000F0959"/>
    <w:rsid w:val="000F3A61"/>
    <w:rsid w:val="00112C1E"/>
    <w:rsid w:val="00116B15"/>
    <w:rsid w:val="00117CF8"/>
    <w:rsid w:val="00120FB7"/>
    <w:rsid w:val="00122039"/>
    <w:rsid w:val="00124ED9"/>
    <w:rsid w:val="0012675F"/>
    <w:rsid w:val="0013144E"/>
    <w:rsid w:val="00134359"/>
    <w:rsid w:val="00135DC1"/>
    <w:rsid w:val="00143FAF"/>
    <w:rsid w:val="00146FF5"/>
    <w:rsid w:val="001539D3"/>
    <w:rsid w:val="001632C6"/>
    <w:rsid w:val="0017374F"/>
    <w:rsid w:val="0017483B"/>
    <w:rsid w:val="00193828"/>
    <w:rsid w:val="001A35DB"/>
    <w:rsid w:val="001B02AC"/>
    <w:rsid w:val="001B69F4"/>
    <w:rsid w:val="001B7CB3"/>
    <w:rsid w:val="001B7D51"/>
    <w:rsid w:val="001C0BEF"/>
    <w:rsid w:val="001C31F9"/>
    <w:rsid w:val="001C4434"/>
    <w:rsid w:val="001D3D86"/>
    <w:rsid w:val="001E1B4C"/>
    <w:rsid w:val="001E35D1"/>
    <w:rsid w:val="001E4D8A"/>
    <w:rsid w:val="001E5665"/>
    <w:rsid w:val="001E6AD2"/>
    <w:rsid w:val="001F1C3F"/>
    <w:rsid w:val="00201AF7"/>
    <w:rsid w:val="00205629"/>
    <w:rsid w:val="00205CEE"/>
    <w:rsid w:val="002114C3"/>
    <w:rsid w:val="0022539B"/>
    <w:rsid w:val="002428DA"/>
    <w:rsid w:val="0024395A"/>
    <w:rsid w:val="002447BF"/>
    <w:rsid w:val="00254B3E"/>
    <w:rsid w:val="002704EB"/>
    <w:rsid w:val="00281A75"/>
    <w:rsid w:val="00286B0F"/>
    <w:rsid w:val="002876E7"/>
    <w:rsid w:val="002925D2"/>
    <w:rsid w:val="002A4E90"/>
    <w:rsid w:val="002B21B8"/>
    <w:rsid w:val="002C3C93"/>
    <w:rsid w:val="002C54DC"/>
    <w:rsid w:val="002C66AE"/>
    <w:rsid w:val="002D7D10"/>
    <w:rsid w:val="002F368E"/>
    <w:rsid w:val="00300977"/>
    <w:rsid w:val="003079B1"/>
    <w:rsid w:val="0031044D"/>
    <w:rsid w:val="003110A7"/>
    <w:rsid w:val="00311CF7"/>
    <w:rsid w:val="00316BA5"/>
    <w:rsid w:val="00336098"/>
    <w:rsid w:val="003437A4"/>
    <w:rsid w:val="00344601"/>
    <w:rsid w:val="003467AA"/>
    <w:rsid w:val="00354177"/>
    <w:rsid w:val="00360B11"/>
    <w:rsid w:val="00360FAE"/>
    <w:rsid w:val="00361CD0"/>
    <w:rsid w:val="00363D4D"/>
    <w:rsid w:val="00374E13"/>
    <w:rsid w:val="00376DA2"/>
    <w:rsid w:val="0038207C"/>
    <w:rsid w:val="00385E6A"/>
    <w:rsid w:val="003868CF"/>
    <w:rsid w:val="003876CC"/>
    <w:rsid w:val="00390670"/>
    <w:rsid w:val="003A01B2"/>
    <w:rsid w:val="003A0DE2"/>
    <w:rsid w:val="003A252A"/>
    <w:rsid w:val="003A285B"/>
    <w:rsid w:val="003A325C"/>
    <w:rsid w:val="003A34AE"/>
    <w:rsid w:val="003C1AC8"/>
    <w:rsid w:val="003C2DBC"/>
    <w:rsid w:val="003C4FEE"/>
    <w:rsid w:val="003C5D9F"/>
    <w:rsid w:val="003C789C"/>
    <w:rsid w:val="003C7ECC"/>
    <w:rsid w:val="003D2BB4"/>
    <w:rsid w:val="003D5730"/>
    <w:rsid w:val="003E4EAC"/>
    <w:rsid w:val="003F0E70"/>
    <w:rsid w:val="003F1BE6"/>
    <w:rsid w:val="003F5E0A"/>
    <w:rsid w:val="003F6DBE"/>
    <w:rsid w:val="003F71C0"/>
    <w:rsid w:val="003F78EB"/>
    <w:rsid w:val="003F7E21"/>
    <w:rsid w:val="003F7E7D"/>
    <w:rsid w:val="004018A4"/>
    <w:rsid w:val="00421B45"/>
    <w:rsid w:val="0042701C"/>
    <w:rsid w:val="00427FF9"/>
    <w:rsid w:val="0043469B"/>
    <w:rsid w:val="00441C2D"/>
    <w:rsid w:val="00443279"/>
    <w:rsid w:val="0044452B"/>
    <w:rsid w:val="0046621C"/>
    <w:rsid w:val="00466524"/>
    <w:rsid w:val="0047241F"/>
    <w:rsid w:val="00472C7D"/>
    <w:rsid w:val="004760B4"/>
    <w:rsid w:val="00487019"/>
    <w:rsid w:val="0049217E"/>
    <w:rsid w:val="004959B4"/>
    <w:rsid w:val="004A3018"/>
    <w:rsid w:val="004A3177"/>
    <w:rsid w:val="004A409F"/>
    <w:rsid w:val="004A680B"/>
    <w:rsid w:val="004B23A7"/>
    <w:rsid w:val="004B368B"/>
    <w:rsid w:val="004B46F1"/>
    <w:rsid w:val="004C245B"/>
    <w:rsid w:val="004D24AF"/>
    <w:rsid w:val="004D34C9"/>
    <w:rsid w:val="004D4E73"/>
    <w:rsid w:val="004E700C"/>
    <w:rsid w:val="004F3AFF"/>
    <w:rsid w:val="004F4A12"/>
    <w:rsid w:val="005027C0"/>
    <w:rsid w:val="0051072C"/>
    <w:rsid w:val="005123B5"/>
    <w:rsid w:val="00526F2F"/>
    <w:rsid w:val="00534B93"/>
    <w:rsid w:val="00536988"/>
    <w:rsid w:val="00542252"/>
    <w:rsid w:val="00542D23"/>
    <w:rsid w:val="00550E2E"/>
    <w:rsid w:val="0055178C"/>
    <w:rsid w:val="0055468C"/>
    <w:rsid w:val="00562895"/>
    <w:rsid w:val="00566492"/>
    <w:rsid w:val="00571C3A"/>
    <w:rsid w:val="00583C9F"/>
    <w:rsid w:val="005860B6"/>
    <w:rsid w:val="0058646A"/>
    <w:rsid w:val="0059651E"/>
    <w:rsid w:val="005A1FB2"/>
    <w:rsid w:val="005A40B7"/>
    <w:rsid w:val="005B0655"/>
    <w:rsid w:val="005C7AB2"/>
    <w:rsid w:val="005E3A63"/>
    <w:rsid w:val="00611D84"/>
    <w:rsid w:val="0063461C"/>
    <w:rsid w:val="00635CEB"/>
    <w:rsid w:val="00640F39"/>
    <w:rsid w:val="00642D79"/>
    <w:rsid w:val="006443D2"/>
    <w:rsid w:val="006446DC"/>
    <w:rsid w:val="00650271"/>
    <w:rsid w:val="0066351C"/>
    <w:rsid w:val="00667556"/>
    <w:rsid w:val="00673F87"/>
    <w:rsid w:val="00675D97"/>
    <w:rsid w:val="0067649C"/>
    <w:rsid w:val="00676570"/>
    <w:rsid w:val="006812F0"/>
    <w:rsid w:val="00695579"/>
    <w:rsid w:val="006959B8"/>
    <w:rsid w:val="006A2D46"/>
    <w:rsid w:val="006A7D6F"/>
    <w:rsid w:val="006B42AB"/>
    <w:rsid w:val="006C7F9B"/>
    <w:rsid w:val="006D04D2"/>
    <w:rsid w:val="006D164A"/>
    <w:rsid w:val="006E221D"/>
    <w:rsid w:val="006E436E"/>
    <w:rsid w:val="006E4386"/>
    <w:rsid w:val="00703B30"/>
    <w:rsid w:val="00710ECC"/>
    <w:rsid w:val="00716664"/>
    <w:rsid w:val="00721154"/>
    <w:rsid w:val="00733EFE"/>
    <w:rsid w:val="007515A0"/>
    <w:rsid w:val="007519EE"/>
    <w:rsid w:val="007549BF"/>
    <w:rsid w:val="00755737"/>
    <w:rsid w:val="00762310"/>
    <w:rsid w:val="0077117B"/>
    <w:rsid w:val="00775518"/>
    <w:rsid w:val="0077665A"/>
    <w:rsid w:val="00780BCA"/>
    <w:rsid w:val="00782AEB"/>
    <w:rsid w:val="0078328A"/>
    <w:rsid w:val="00783FA5"/>
    <w:rsid w:val="00785288"/>
    <w:rsid w:val="00787829"/>
    <w:rsid w:val="00791A82"/>
    <w:rsid w:val="00791C17"/>
    <w:rsid w:val="00793FCF"/>
    <w:rsid w:val="00795E77"/>
    <w:rsid w:val="007A26CA"/>
    <w:rsid w:val="007B1FC4"/>
    <w:rsid w:val="007B4EA4"/>
    <w:rsid w:val="007D541E"/>
    <w:rsid w:val="007D55C8"/>
    <w:rsid w:val="007E2C0A"/>
    <w:rsid w:val="007E43DA"/>
    <w:rsid w:val="007F04DA"/>
    <w:rsid w:val="007F0B96"/>
    <w:rsid w:val="007F50E0"/>
    <w:rsid w:val="00801D85"/>
    <w:rsid w:val="008032CB"/>
    <w:rsid w:val="008048D7"/>
    <w:rsid w:val="008155A6"/>
    <w:rsid w:val="00816BB2"/>
    <w:rsid w:val="008170E9"/>
    <w:rsid w:val="00817E0E"/>
    <w:rsid w:val="00820584"/>
    <w:rsid w:val="0083016E"/>
    <w:rsid w:val="0083190C"/>
    <w:rsid w:val="0083401A"/>
    <w:rsid w:val="00836869"/>
    <w:rsid w:val="00842773"/>
    <w:rsid w:val="00851EC9"/>
    <w:rsid w:val="0085254C"/>
    <w:rsid w:val="0085657E"/>
    <w:rsid w:val="008726ED"/>
    <w:rsid w:val="00873303"/>
    <w:rsid w:val="00876388"/>
    <w:rsid w:val="00885D48"/>
    <w:rsid w:val="008867F2"/>
    <w:rsid w:val="008949EF"/>
    <w:rsid w:val="0089766C"/>
    <w:rsid w:val="00897CA8"/>
    <w:rsid w:val="008A2490"/>
    <w:rsid w:val="008A79E1"/>
    <w:rsid w:val="008B0D88"/>
    <w:rsid w:val="008B50D9"/>
    <w:rsid w:val="008D76E0"/>
    <w:rsid w:val="008D7C0D"/>
    <w:rsid w:val="008F4E0D"/>
    <w:rsid w:val="008F51A0"/>
    <w:rsid w:val="00903160"/>
    <w:rsid w:val="00906FBD"/>
    <w:rsid w:val="009152EA"/>
    <w:rsid w:val="00917A7E"/>
    <w:rsid w:val="009206DF"/>
    <w:rsid w:val="00927C26"/>
    <w:rsid w:val="0093226F"/>
    <w:rsid w:val="009338FF"/>
    <w:rsid w:val="00937DDF"/>
    <w:rsid w:val="00945604"/>
    <w:rsid w:val="009456AB"/>
    <w:rsid w:val="009462D7"/>
    <w:rsid w:val="00947648"/>
    <w:rsid w:val="00951656"/>
    <w:rsid w:val="00951FAB"/>
    <w:rsid w:val="009625EB"/>
    <w:rsid w:val="00965B94"/>
    <w:rsid w:val="00974E24"/>
    <w:rsid w:val="00980964"/>
    <w:rsid w:val="0098126C"/>
    <w:rsid w:val="00983D32"/>
    <w:rsid w:val="0098417E"/>
    <w:rsid w:val="00987928"/>
    <w:rsid w:val="00987B17"/>
    <w:rsid w:val="00990466"/>
    <w:rsid w:val="009936A9"/>
    <w:rsid w:val="0099439B"/>
    <w:rsid w:val="009A42D5"/>
    <w:rsid w:val="009A58A9"/>
    <w:rsid w:val="009B2B99"/>
    <w:rsid w:val="009B3BCA"/>
    <w:rsid w:val="009C3B5A"/>
    <w:rsid w:val="009C4022"/>
    <w:rsid w:val="009D1DA0"/>
    <w:rsid w:val="009D2DCC"/>
    <w:rsid w:val="009D3656"/>
    <w:rsid w:val="009D6F95"/>
    <w:rsid w:val="009E6362"/>
    <w:rsid w:val="009E6FEB"/>
    <w:rsid w:val="009F0CE3"/>
    <w:rsid w:val="009F4A29"/>
    <w:rsid w:val="009F4F0B"/>
    <w:rsid w:val="009F51DA"/>
    <w:rsid w:val="00A02323"/>
    <w:rsid w:val="00A026EB"/>
    <w:rsid w:val="00A27FAE"/>
    <w:rsid w:val="00A33CDA"/>
    <w:rsid w:val="00A34F2B"/>
    <w:rsid w:val="00A36E3D"/>
    <w:rsid w:val="00A409EC"/>
    <w:rsid w:val="00A422B8"/>
    <w:rsid w:val="00A44A3D"/>
    <w:rsid w:val="00A52F74"/>
    <w:rsid w:val="00A535A4"/>
    <w:rsid w:val="00A5570B"/>
    <w:rsid w:val="00A6001F"/>
    <w:rsid w:val="00A61760"/>
    <w:rsid w:val="00A70998"/>
    <w:rsid w:val="00A74EA1"/>
    <w:rsid w:val="00A8402D"/>
    <w:rsid w:val="00A86AF5"/>
    <w:rsid w:val="00A87C78"/>
    <w:rsid w:val="00AA1340"/>
    <w:rsid w:val="00AB22B7"/>
    <w:rsid w:val="00AB60DA"/>
    <w:rsid w:val="00AB62F6"/>
    <w:rsid w:val="00AC5B2F"/>
    <w:rsid w:val="00AC7910"/>
    <w:rsid w:val="00AD1E6C"/>
    <w:rsid w:val="00AD35E4"/>
    <w:rsid w:val="00AD45A5"/>
    <w:rsid w:val="00AE1694"/>
    <w:rsid w:val="00AE3D93"/>
    <w:rsid w:val="00AF1E9D"/>
    <w:rsid w:val="00B0057D"/>
    <w:rsid w:val="00B00978"/>
    <w:rsid w:val="00B02E0F"/>
    <w:rsid w:val="00B03032"/>
    <w:rsid w:val="00B06272"/>
    <w:rsid w:val="00B1342D"/>
    <w:rsid w:val="00B16D03"/>
    <w:rsid w:val="00B22FCF"/>
    <w:rsid w:val="00B24648"/>
    <w:rsid w:val="00B24EF4"/>
    <w:rsid w:val="00B31D16"/>
    <w:rsid w:val="00B40E28"/>
    <w:rsid w:val="00B4149E"/>
    <w:rsid w:val="00B4389D"/>
    <w:rsid w:val="00B44EC2"/>
    <w:rsid w:val="00B54B39"/>
    <w:rsid w:val="00B560E8"/>
    <w:rsid w:val="00B605FB"/>
    <w:rsid w:val="00B61235"/>
    <w:rsid w:val="00B67492"/>
    <w:rsid w:val="00B8190F"/>
    <w:rsid w:val="00B83128"/>
    <w:rsid w:val="00B84C93"/>
    <w:rsid w:val="00B91952"/>
    <w:rsid w:val="00BA685A"/>
    <w:rsid w:val="00BB181B"/>
    <w:rsid w:val="00BB2C1C"/>
    <w:rsid w:val="00BB48DE"/>
    <w:rsid w:val="00BB5C68"/>
    <w:rsid w:val="00BB6D1A"/>
    <w:rsid w:val="00BC446B"/>
    <w:rsid w:val="00BC44FC"/>
    <w:rsid w:val="00BD2E52"/>
    <w:rsid w:val="00BD3E70"/>
    <w:rsid w:val="00BF19DB"/>
    <w:rsid w:val="00C01854"/>
    <w:rsid w:val="00C03515"/>
    <w:rsid w:val="00C144E5"/>
    <w:rsid w:val="00C15782"/>
    <w:rsid w:val="00C25675"/>
    <w:rsid w:val="00C30431"/>
    <w:rsid w:val="00C43315"/>
    <w:rsid w:val="00C4761A"/>
    <w:rsid w:val="00C51B34"/>
    <w:rsid w:val="00C652EE"/>
    <w:rsid w:val="00C762F9"/>
    <w:rsid w:val="00C8016E"/>
    <w:rsid w:val="00C9369D"/>
    <w:rsid w:val="00C962E7"/>
    <w:rsid w:val="00C9635E"/>
    <w:rsid w:val="00C97229"/>
    <w:rsid w:val="00CA5894"/>
    <w:rsid w:val="00CC1BDF"/>
    <w:rsid w:val="00CC39E9"/>
    <w:rsid w:val="00CD17BC"/>
    <w:rsid w:val="00CD259C"/>
    <w:rsid w:val="00CD435E"/>
    <w:rsid w:val="00CD49AF"/>
    <w:rsid w:val="00CE35F3"/>
    <w:rsid w:val="00CE7479"/>
    <w:rsid w:val="00CF5825"/>
    <w:rsid w:val="00CF7947"/>
    <w:rsid w:val="00D113DC"/>
    <w:rsid w:val="00D21E7F"/>
    <w:rsid w:val="00D34088"/>
    <w:rsid w:val="00D46107"/>
    <w:rsid w:val="00D46B92"/>
    <w:rsid w:val="00D536B7"/>
    <w:rsid w:val="00D54024"/>
    <w:rsid w:val="00D619A1"/>
    <w:rsid w:val="00D63A68"/>
    <w:rsid w:val="00D71881"/>
    <w:rsid w:val="00D73F5F"/>
    <w:rsid w:val="00D7591A"/>
    <w:rsid w:val="00D85782"/>
    <w:rsid w:val="00D96BF9"/>
    <w:rsid w:val="00DA0C87"/>
    <w:rsid w:val="00DA240B"/>
    <w:rsid w:val="00DA3EF4"/>
    <w:rsid w:val="00DB0B39"/>
    <w:rsid w:val="00DB64E8"/>
    <w:rsid w:val="00DC6A47"/>
    <w:rsid w:val="00DC79D7"/>
    <w:rsid w:val="00DE49DF"/>
    <w:rsid w:val="00DF1B6F"/>
    <w:rsid w:val="00DF3D6C"/>
    <w:rsid w:val="00E037DE"/>
    <w:rsid w:val="00E077FB"/>
    <w:rsid w:val="00E11551"/>
    <w:rsid w:val="00E133F2"/>
    <w:rsid w:val="00E1466D"/>
    <w:rsid w:val="00E23081"/>
    <w:rsid w:val="00E24B94"/>
    <w:rsid w:val="00E36B45"/>
    <w:rsid w:val="00E37C73"/>
    <w:rsid w:val="00E41C6D"/>
    <w:rsid w:val="00E46407"/>
    <w:rsid w:val="00E760F0"/>
    <w:rsid w:val="00E80F72"/>
    <w:rsid w:val="00E82238"/>
    <w:rsid w:val="00E82371"/>
    <w:rsid w:val="00E8308E"/>
    <w:rsid w:val="00E923E4"/>
    <w:rsid w:val="00EA146D"/>
    <w:rsid w:val="00EA2D1D"/>
    <w:rsid w:val="00EB4F91"/>
    <w:rsid w:val="00EC01CF"/>
    <w:rsid w:val="00EC1CCA"/>
    <w:rsid w:val="00EC3073"/>
    <w:rsid w:val="00EC58B2"/>
    <w:rsid w:val="00EC7A28"/>
    <w:rsid w:val="00EF1228"/>
    <w:rsid w:val="00EF3A13"/>
    <w:rsid w:val="00EF43CB"/>
    <w:rsid w:val="00EF703A"/>
    <w:rsid w:val="00F05301"/>
    <w:rsid w:val="00F10001"/>
    <w:rsid w:val="00F106B5"/>
    <w:rsid w:val="00F25F64"/>
    <w:rsid w:val="00F30E8E"/>
    <w:rsid w:val="00F3347E"/>
    <w:rsid w:val="00F36AC2"/>
    <w:rsid w:val="00F44076"/>
    <w:rsid w:val="00F4678F"/>
    <w:rsid w:val="00F50639"/>
    <w:rsid w:val="00F513C1"/>
    <w:rsid w:val="00F51AB3"/>
    <w:rsid w:val="00F52179"/>
    <w:rsid w:val="00F54E58"/>
    <w:rsid w:val="00F6220D"/>
    <w:rsid w:val="00F64BF4"/>
    <w:rsid w:val="00F64F82"/>
    <w:rsid w:val="00F71DF8"/>
    <w:rsid w:val="00F72B45"/>
    <w:rsid w:val="00F75E39"/>
    <w:rsid w:val="00F76A4A"/>
    <w:rsid w:val="00F81C05"/>
    <w:rsid w:val="00F84741"/>
    <w:rsid w:val="00F85F4C"/>
    <w:rsid w:val="00F8795D"/>
    <w:rsid w:val="00FA21CB"/>
    <w:rsid w:val="00FA2D5E"/>
    <w:rsid w:val="00FA2EFE"/>
    <w:rsid w:val="00FC104D"/>
    <w:rsid w:val="00FC18BC"/>
    <w:rsid w:val="00FC3EB7"/>
    <w:rsid w:val="00FC5F33"/>
    <w:rsid w:val="00FC6BF7"/>
    <w:rsid w:val="00FC753B"/>
    <w:rsid w:val="00FD0698"/>
    <w:rsid w:val="00FD13F0"/>
    <w:rsid w:val="00FD18CE"/>
    <w:rsid w:val="00FD415D"/>
    <w:rsid w:val="00FD4302"/>
    <w:rsid w:val="00FD4DF9"/>
    <w:rsid w:val="00FD5D83"/>
    <w:rsid w:val="00FF73C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D01AD6-84F5-43A4-8854-DF1745A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0B"/>
    <w:pPr>
      <w:spacing w:line="220" w:lineRule="atLeast"/>
    </w:pPr>
    <w:rPr>
      <w:rFonts w:ascii="Verdana" w:hAnsi="Verdana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4452B"/>
    <w:pPr>
      <w:keepNext/>
      <w:keepLines/>
      <w:spacing w:before="780" w:after="260"/>
      <w:outlineLvl w:val="0"/>
    </w:pPr>
    <w:rPr>
      <w:rFonts w:eastAsiaTheme="majorEastAsia" w:cstheme="majorBidi"/>
      <w:bCs/>
      <w:caps/>
      <w:spacing w:val="9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7704D"/>
    <w:pPr>
      <w:keepNext/>
      <w:keepLines/>
      <w:spacing w:before="260"/>
      <w:outlineLvl w:val="1"/>
    </w:pPr>
    <w:rPr>
      <w:rFonts w:eastAsiaTheme="majorEastAsia" w:cstheme="majorBidi"/>
      <w:bCs/>
      <w:caps/>
      <w:spacing w:val="7"/>
      <w:sz w:val="17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704D"/>
    <w:pPr>
      <w:keepNext/>
      <w:keepLines/>
      <w:spacing w:before="260"/>
      <w:outlineLvl w:val="2"/>
    </w:pPr>
    <w:rPr>
      <w:rFonts w:eastAsiaTheme="majorEastAsia" w:cstheme="majorBidi"/>
      <w:b/>
      <w:bCs/>
      <w:spacing w:val="2"/>
      <w:sz w:val="17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487019"/>
    <w:pPr>
      <w:outlineLvl w:val="3"/>
    </w:pPr>
  </w:style>
  <w:style w:type="paragraph" w:styleId="Overskrift5">
    <w:name w:val="heading 5"/>
    <w:basedOn w:val="Overskrift3"/>
    <w:next w:val="Normal"/>
    <w:link w:val="Overskrift5Tegn"/>
    <w:uiPriority w:val="9"/>
    <w:unhideWhenUsed/>
    <w:rsid w:val="00487019"/>
    <w:pPr>
      <w:outlineLvl w:val="4"/>
    </w:p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487019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487019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487019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48701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EFE"/>
  </w:style>
  <w:style w:type="paragraph" w:styleId="Sidefod">
    <w:name w:val="footer"/>
    <w:basedOn w:val="Normal"/>
    <w:link w:val="Sidefo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EFE"/>
  </w:style>
  <w:style w:type="character" w:customStyle="1" w:styleId="Overskrift1Tegn">
    <w:name w:val="Overskrift 1 Tegn"/>
    <w:basedOn w:val="Standardskrifttypeiafsnit"/>
    <w:link w:val="Overskrift1"/>
    <w:uiPriority w:val="9"/>
    <w:rsid w:val="0044452B"/>
    <w:rPr>
      <w:rFonts w:ascii="Verdana" w:eastAsiaTheme="majorEastAsia" w:hAnsi="Verdana" w:cstheme="majorBidi"/>
      <w:bCs/>
      <w:caps/>
      <w:spacing w:val="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704D"/>
    <w:rPr>
      <w:rFonts w:ascii="Verdana" w:eastAsiaTheme="majorEastAsia" w:hAnsi="Verdana" w:cstheme="majorBidi"/>
      <w:bCs/>
      <w:caps/>
      <w:spacing w:val="7"/>
      <w:sz w:val="1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704D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paragraph" w:customStyle="1" w:styleId="Forsideoverskrift-Rd">
    <w:name w:val="Forside overskrift - Rød"/>
    <w:basedOn w:val="Forsideoverskrift-Guld"/>
    <w:rsid w:val="005860B6"/>
    <w:rPr>
      <w:color w:val="C4262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E24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E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9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overskrift-Guld">
    <w:name w:val="Forside overskrift - Guld"/>
    <w:basedOn w:val="Normal"/>
    <w:rsid w:val="005860B6"/>
    <w:pPr>
      <w:spacing w:line="680" w:lineRule="exact"/>
    </w:pPr>
    <w:rPr>
      <w:rFonts w:ascii="Impact" w:hAnsi="Impact"/>
      <w:caps/>
      <w:color w:val="CA9E28"/>
      <w:sz w:val="74"/>
    </w:rPr>
  </w:style>
  <w:style w:type="paragraph" w:customStyle="1" w:styleId="Forsideoverskrift-Hvid">
    <w:name w:val="Forside overskrift - Hvid"/>
    <w:basedOn w:val="Forsideoverskrift-Rd"/>
    <w:rsid w:val="005860B6"/>
    <w:rPr>
      <w:color w:val="FFFFFF"/>
    </w:rPr>
  </w:style>
  <w:style w:type="paragraph" w:customStyle="1" w:styleId="FaktaGuld">
    <w:name w:val="Fakta Guld"/>
    <w:basedOn w:val="Forsideoverskrift-Guld"/>
    <w:rsid w:val="00E82238"/>
    <w:pPr>
      <w:spacing w:line="570" w:lineRule="exact"/>
      <w:ind w:left="3714"/>
    </w:pPr>
    <w:rPr>
      <w:sz w:val="63"/>
    </w:rPr>
  </w:style>
  <w:style w:type="paragraph" w:customStyle="1" w:styleId="FaktaRd">
    <w:name w:val="Fakta Rød"/>
    <w:basedOn w:val="FaktaGuld"/>
    <w:rsid w:val="00DC6A47"/>
    <w:rPr>
      <w:color w:val="C4262D"/>
    </w:rPr>
  </w:style>
  <w:style w:type="paragraph" w:customStyle="1" w:styleId="OverskriftHvid">
    <w:name w:val="Overskrift Hvid"/>
    <w:basedOn w:val="Normal"/>
    <w:rsid w:val="0055178C"/>
    <w:rPr>
      <w:b/>
      <w:caps/>
      <w:color w:val="FFFFFF"/>
      <w:spacing w:val="2"/>
    </w:rPr>
  </w:style>
  <w:style w:type="paragraph" w:customStyle="1" w:styleId="OverskriftRd">
    <w:name w:val="Overskrift Rød"/>
    <w:basedOn w:val="OverskriftHvid"/>
    <w:qFormat/>
    <w:rsid w:val="009F4A29"/>
    <w:rPr>
      <w:color w:val="C4262D"/>
    </w:rPr>
  </w:style>
  <w:style w:type="paragraph" w:customStyle="1" w:styleId="Underoverskrift">
    <w:name w:val="Underoverskrift"/>
    <w:basedOn w:val="Normal"/>
    <w:next w:val="Normal"/>
    <w:qFormat/>
    <w:rsid w:val="0077665A"/>
    <w:pPr>
      <w:spacing w:before="220" w:after="0"/>
    </w:pPr>
    <w:rPr>
      <w:caps/>
      <w:color w:val="C4262D"/>
      <w:spacing w:val="8"/>
      <w:sz w:val="15"/>
    </w:rPr>
  </w:style>
  <w:style w:type="paragraph" w:customStyle="1" w:styleId="Kolofon">
    <w:name w:val="Kolofon"/>
    <w:basedOn w:val="Underoverskrift"/>
    <w:rsid w:val="003F5E0A"/>
    <w:pPr>
      <w:spacing w:before="0"/>
    </w:pPr>
    <w:rPr>
      <w:color w:val="FFFFFF"/>
    </w:rPr>
  </w:style>
  <w:style w:type="paragraph" w:customStyle="1" w:styleId="BagsideTekst">
    <w:name w:val="Bagside Tekst"/>
    <w:basedOn w:val="Normal"/>
    <w:rsid w:val="001632C6"/>
    <w:pPr>
      <w:ind w:left="-1418"/>
    </w:pPr>
    <w:rPr>
      <w:color w:val="FFFFFF"/>
    </w:rPr>
  </w:style>
  <w:style w:type="paragraph" w:styleId="Dato">
    <w:name w:val="Date"/>
    <w:basedOn w:val="Normal"/>
    <w:next w:val="Normal"/>
    <w:link w:val="DatoTegn"/>
    <w:rsid w:val="00DA240B"/>
    <w:pPr>
      <w:spacing w:line="260" w:lineRule="atLeast"/>
    </w:pPr>
    <w:rPr>
      <w:color w:val="FFFFFF"/>
      <w:sz w:val="12"/>
    </w:rPr>
  </w:style>
  <w:style w:type="character" w:customStyle="1" w:styleId="DatoTegn">
    <w:name w:val="Dato Tegn"/>
    <w:basedOn w:val="Standardskrifttypeiafsnit"/>
    <w:link w:val="Dato"/>
    <w:rsid w:val="00DA240B"/>
    <w:rPr>
      <w:rFonts w:ascii="Verdana" w:hAnsi="Verdana"/>
      <w:color w:val="FFFFFF"/>
      <w:sz w:val="12"/>
    </w:rPr>
  </w:style>
  <w:style w:type="paragraph" w:customStyle="1" w:styleId="BagsideOverskrift">
    <w:name w:val="Bagside Overskrift"/>
    <w:basedOn w:val="OverskriftHvid"/>
    <w:rsid w:val="006E4386"/>
    <w:pPr>
      <w:ind w:left="-1418"/>
    </w:pPr>
  </w:style>
  <w:style w:type="paragraph" w:styleId="NormalWeb">
    <w:name w:val="Normal (Web)"/>
    <w:basedOn w:val="Normal"/>
    <w:uiPriority w:val="99"/>
    <w:semiHidden/>
    <w:unhideWhenUsed/>
    <w:rsid w:val="00A6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176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61760"/>
    <w:rPr>
      <w:b/>
      <w:bCs/>
    </w:rPr>
  </w:style>
  <w:style w:type="paragraph" w:styleId="Listeafsnit">
    <w:name w:val="List Paragraph"/>
    <w:basedOn w:val="Normal"/>
    <w:uiPriority w:val="34"/>
    <w:qFormat/>
    <w:rsid w:val="0078328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41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41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4177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41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4177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6E2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FC6B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46107"/>
    <w:pPr>
      <w:spacing w:line="181" w:lineRule="atLeast"/>
    </w:pPr>
    <w:rPr>
      <w:rFonts w:ascii="Lato Light" w:hAnsi="Lato Light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46107"/>
    <w:pPr>
      <w:spacing w:line="181" w:lineRule="atLeast"/>
    </w:pPr>
    <w:rPr>
      <w:rFonts w:ascii="Lato Light" w:hAnsi="Lato Ligh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A0C87"/>
    <w:pPr>
      <w:spacing w:line="181" w:lineRule="atLeast"/>
    </w:pPr>
    <w:rPr>
      <w:rFonts w:ascii="Lato" w:hAnsi="La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6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85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4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4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T\dynamictemplate\Skabeloner\Folder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Kvartalsrapport%202%202019\8%20kl.%20UPV%20pr.%2026-6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Kvartalsrapport%202%202019\9%20kl.%20UPV%20pr.%2012-6-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Kvartalsrapport%202%202019\10-kl-upv%20pr.%2010-6-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8.kl. UPV for GBS Folke- og privatskoler </a:t>
            </a:r>
            <a:endParaRPr lang="da-DK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da-D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hovedtal!$L$17</c:f>
              <c:strCache>
                <c:ptCount val="1"/>
                <c:pt idx="0">
                  <c:v>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hovedtal!$K$18:$K$20</c:f>
              <c:strCache>
                <c:ptCount val="3"/>
                <c:pt idx="0">
                  <c:v>Folkeskole</c:v>
                </c:pt>
                <c:pt idx="1">
                  <c:v>Privatskole</c:v>
                </c:pt>
                <c:pt idx="2">
                  <c:v>Samlet</c:v>
                </c:pt>
              </c:strCache>
            </c:strRef>
          </c:cat>
          <c:val>
            <c:numRef>
              <c:f>hovedtal!$L$18:$L$20</c:f>
              <c:numCache>
                <c:formatCode>General</c:formatCode>
                <c:ptCount val="3"/>
                <c:pt idx="0">
                  <c:v>282</c:v>
                </c:pt>
                <c:pt idx="1">
                  <c:v>84</c:v>
                </c:pt>
                <c:pt idx="2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73-435C-91AB-41FCE1CF5489}"/>
            </c:ext>
          </c:extLst>
        </c:ser>
        <c:ser>
          <c:idx val="1"/>
          <c:order val="1"/>
          <c:tx>
            <c:strRef>
              <c:f>hovedtal!$M$17</c:f>
              <c:strCache>
                <c:ptCount val="1"/>
                <c:pt idx="0">
                  <c:v>IUP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hovedtal!$K$18:$K$20</c:f>
              <c:strCache>
                <c:ptCount val="3"/>
                <c:pt idx="0">
                  <c:v>Folkeskole</c:v>
                </c:pt>
                <c:pt idx="1">
                  <c:v>Privatskole</c:v>
                </c:pt>
                <c:pt idx="2">
                  <c:v>Samlet</c:v>
                </c:pt>
              </c:strCache>
            </c:strRef>
          </c:cat>
          <c:val>
            <c:numRef>
              <c:f>hovedtal!$M$18:$M$20</c:f>
              <c:numCache>
                <c:formatCode>General</c:formatCode>
                <c:ptCount val="3"/>
                <c:pt idx="0">
                  <c:v>251</c:v>
                </c:pt>
                <c:pt idx="1">
                  <c:v>29</c:v>
                </c:pt>
                <c:pt idx="2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73-435C-91AB-41FCE1CF5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871224"/>
        <c:axId val="528876800"/>
      </c:barChart>
      <c:catAx>
        <c:axId val="52887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8876800"/>
        <c:crosses val="autoZero"/>
        <c:auto val="1"/>
        <c:lblAlgn val="ctr"/>
        <c:lblOffset val="100"/>
        <c:noMultiLvlLbl val="0"/>
      </c:catAx>
      <c:valAx>
        <c:axId val="52887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887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9.kl. UPV for GBS Folke- og privatskoler </a:t>
            </a:r>
          </a:p>
        </c:rich>
      </c:tx>
      <c:layout>
        <c:manualLayout>
          <c:xMode val="edge"/>
          <c:yMode val="edge"/>
          <c:x val="0.2224582239720034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Hovedtal!$L$8</c:f>
              <c:strCache>
                <c:ptCount val="1"/>
                <c:pt idx="0">
                  <c:v>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Hovedtal!$I$9:$I$11</c:f>
              <c:strCache>
                <c:ptCount val="3"/>
                <c:pt idx="0">
                  <c:v>Folkeskole</c:v>
                </c:pt>
                <c:pt idx="1">
                  <c:v>Privatskole</c:v>
                </c:pt>
                <c:pt idx="2">
                  <c:v>Samlet</c:v>
                </c:pt>
              </c:strCache>
            </c:strRef>
          </c:cat>
          <c:val>
            <c:numRef>
              <c:f>Hovedtal!$L$9:$L$11</c:f>
              <c:numCache>
                <c:formatCode>General</c:formatCode>
                <c:ptCount val="3"/>
                <c:pt idx="0">
                  <c:v>384</c:v>
                </c:pt>
                <c:pt idx="1">
                  <c:v>66</c:v>
                </c:pt>
                <c:pt idx="2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B-4425-AD8B-BC51546ACF37}"/>
            </c:ext>
          </c:extLst>
        </c:ser>
        <c:ser>
          <c:idx val="1"/>
          <c:order val="1"/>
          <c:tx>
            <c:strRef>
              <c:f>Hovedtal!$M$8</c:f>
              <c:strCache>
                <c:ptCount val="1"/>
                <c:pt idx="0">
                  <c:v>IUP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Hovedtal!$I$9:$I$11</c:f>
              <c:strCache>
                <c:ptCount val="3"/>
                <c:pt idx="0">
                  <c:v>Folkeskole</c:v>
                </c:pt>
                <c:pt idx="1">
                  <c:v>Privatskole</c:v>
                </c:pt>
                <c:pt idx="2">
                  <c:v>Samlet</c:v>
                </c:pt>
              </c:strCache>
            </c:strRef>
          </c:cat>
          <c:val>
            <c:numRef>
              <c:f>Hovedtal!$M$9:$M$11</c:f>
              <c:numCache>
                <c:formatCode>General</c:formatCode>
                <c:ptCount val="3"/>
                <c:pt idx="0">
                  <c:v>158</c:v>
                </c:pt>
                <c:pt idx="1">
                  <c:v>12</c:v>
                </c:pt>
                <c:pt idx="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7B-4425-AD8B-BC51546AC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5533832"/>
        <c:axId val="545534160"/>
      </c:barChart>
      <c:catAx>
        <c:axId val="54553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45534160"/>
        <c:crosses val="autoZero"/>
        <c:auto val="1"/>
        <c:lblAlgn val="ctr"/>
        <c:lblOffset val="100"/>
        <c:noMultiLvlLbl val="0"/>
      </c:catAx>
      <c:valAx>
        <c:axId val="54553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4553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10.kl. UPV for GBS Folke- og privatskoler </a:t>
            </a:r>
            <a:endParaRPr lang="da-DK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'Ark2'!$I$28</c:f>
              <c:strCache>
                <c:ptCount val="1"/>
                <c:pt idx="0">
                  <c:v>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'Ark2'!$J$27:$M$27</c:f>
              <c:strCache>
                <c:ptCount val="4"/>
                <c:pt idx="0">
                  <c:v>Folkeskole</c:v>
                </c:pt>
                <c:pt idx="1">
                  <c:v>Privatskole</c:v>
                </c:pt>
                <c:pt idx="2">
                  <c:v>10.kl. i andet tilbud*</c:v>
                </c:pt>
                <c:pt idx="3">
                  <c:v>Samlet</c:v>
                </c:pt>
              </c:strCache>
            </c:strRef>
          </c:cat>
          <c:val>
            <c:numRef>
              <c:f>'Ark2'!$J$28:$M$28</c:f>
              <c:numCache>
                <c:formatCode>General</c:formatCode>
                <c:ptCount val="4"/>
                <c:pt idx="0">
                  <c:v>72</c:v>
                </c:pt>
                <c:pt idx="1">
                  <c:v>22</c:v>
                </c:pt>
                <c:pt idx="2">
                  <c:v>0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9-4918-A00B-AA43033C57E0}"/>
            </c:ext>
          </c:extLst>
        </c:ser>
        <c:ser>
          <c:idx val="1"/>
          <c:order val="1"/>
          <c:tx>
            <c:strRef>
              <c:f>'Ark2'!$I$29</c:f>
              <c:strCache>
                <c:ptCount val="1"/>
                <c:pt idx="0">
                  <c:v>IUP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'Ark2'!$J$27:$M$27</c:f>
              <c:strCache>
                <c:ptCount val="4"/>
                <c:pt idx="0">
                  <c:v>Folkeskole</c:v>
                </c:pt>
                <c:pt idx="1">
                  <c:v>Privatskole</c:v>
                </c:pt>
                <c:pt idx="2">
                  <c:v>10.kl. i andet tilbud*</c:v>
                </c:pt>
                <c:pt idx="3">
                  <c:v>Samlet</c:v>
                </c:pt>
              </c:strCache>
            </c:strRef>
          </c:cat>
          <c:val>
            <c:numRef>
              <c:f>'Ark2'!$J$29:$M$29</c:f>
              <c:numCache>
                <c:formatCode>General</c:formatCode>
                <c:ptCount val="4"/>
                <c:pt idx="0">
                  <c:v>57</c:v>
                </c:pt>
                <c:pt idx="1">
                  <c:v>3</c:v>
                </c:pt>
                <c:pt idx="2">
                  <c:v>8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C9-4918-A00B-AA43033C5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3027768"/>
        <c:axId val="553032360"/>
      </c:barChart>
      <c:catAx>
        <c:axId val="553027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53032360"/>
        <c:crosses val="autoZero"/>
        <c:auto val="1"/>
        <c:lblAlgn val="ctr"/>
        <c:lblOffset val="100"/>
        <c:noMultiLvlLbl val="0"/>
      </c:catAx>
      <c:valAx>
        <c:axId val="553032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53027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5B5C-BDED-44D4-BDE6-859022EB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</Template>
  <TotalTime>0</TotalTime>
  <Pages>6</Pages>
  <Words>1623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 Schlegel-Sørensen</dc:creator>
  <cp:lastModifiedBy>Ulla Petersen</cp:lastModifiedBy>
  <cp:revision>2</cp:revision>
  <cp:lastPrinted>2019-03-20T13:44:00Z</cp:lastPrinted>
  <dcterms:created xsi:type="dcterms:W3CDTF">2019-07-03T13:39:00Z</dcterms:created>
  <dcterms:modified xsi:type="dcterms:W3CDTF">2019-07-03T13:39:00Z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{AE10F0AE-215A-46D5-8722-CCC9874B0998}</vt:lpwstr>
  </property>
</Properties>
</file>