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938"/>
        <w:gridCol w:w="1029"/>
        <w:gridCol w:w="980"/>
        <w:gridCol w:w="960"/>
        <w:gridCol w:w="1060"/>
        <w:gridCol w:w="960"/>
        <w:gridCol w:w="960"/>
        <w:gridCol w:w="1060"/>
        <w:gridCol w:w="1080"/>
        <w:gridCol w:w="960"/>
        <w:gridCol w:w="1060"/>
        <w:gridCol w:w="960"/>
      </w:tblGrid>
      <w:tr w:rsidR="00DB3D08" w:rsidRPr="00DB3D08" w:rsidTr="00DB3D08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15-17 årig statistik UU Guldborgsund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62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Guldborgsund</w:t>
            </w:r>
            <w:r w:rsidR="006264A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6264AF" w:rsidRDefault="006264AF" w:rsidP="0014098A">
      <w:pPr>
        <w:rPr>
          <w:noProof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25"/>
        <w:gridCol w:w="1012"/>
        <w:gridCol w:w="945"/>
        <w:gridCol w:w="1013"/>
        <w:gridCol w:w="958"/>
        <w:gridCol w:w="929"/>
        <w:gridCol w:w="912"/>
        <w:gridCol w:w="958"/>
        <w:gridCol w:w="929"/>
        <w:gridCol w:w="929"/>
        <w:gridCol w:w="958"/>
        <w:gridCol w:w="929"/>
        <w:gridCol w:w="929"/>
      </w:tblGrid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/>
        </w:tc>
        <w:tc>
          <w:tcPr>
            <w:tcW w:w="1160" w:type="dxa"/>
            <w:noWrap/>
            <w:hideMark/>
          </w:tcPr>
          <w:p w:rsidR="0014098A" w:rsidRPr="0014098A" w:rsidRDefault="0014098A">
            <w:r w:rsidRPr="0014098A">
              <w:t>Antal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/>
        </w:tc>
        <w:tc>
          <w:tcPr>
            <w:tcW w:w="1160" w:type="dxa"/>
            <w:noWrap/>
            <w:hideMark/>
          </w:tcPr>
          <w:p w:rsidR="0014098A" w:rsidRPr="0014098A" w:rsidRDefault="0014098A"/>
        </w:tc>
        <w:tc>
          <w:tcPr>
            <w:tcW w:w="1095" w:type="dxa"/>
            <w:noWrap/>
            <w:hideMark/>
          </w:tcPr>
          <w:p w:rsidR="0014098A" w:rsidRPr="0014098A" w:rsidRDefault="0014098A"/>
        </w:tc>
        <w:tc>
          <w:tcPr>
            <w:tcW w:w="1060" w:type="dxa"/>
            <w:noWrap/>
            <w:hideMark/>
          </w:tcPr>
          <w:p w:rsidR="0014098A" w:rsidRPr="0014098A" w:rsidRDefault="0014098A"/>
        </w:tc>
        <w:tc>
          <w:tcPr>
            <w:tcW w:w="1040" w:type="dxa"/>
            <w:noWrap/>
            <w:hideMark/>
          </w:tcPr>
          <w:p w:rsidR="0014098A" w:rsidRPr="0014098A" w:rsidRDefault="0014098A"/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/>
        </w:tc>
        <w:tc>
          <w:tcPr>
            <w:tcW w:w="1060" w:type="dxa"/>
            <w:noWrap/>
            <w:hideMark/>
          </w:tcPr>
          <w:p w:rsidR="0014098A" w:rsidRPr="0014098A" w:rsidRDefault="0014098A"/>
        </w:tc>
        <w:tc>
          <w:tcPr>
            <w:tcW w:w="1095" w:type="dxa"/>
            <w:noWrap/>
            <w:hideMark/>
          </w:tcPr>
          <w:p w:rsidR="0014098A" w:rsidRPr="0014098A" w:rsidRDefault="0014098A"/>
        </w:tc>
        <w:tc>
          <w:tcPr>
            <w:tcW w:w="1060" w:type="dxa"/>
            <w:noWrap/>
            <w:hideMark/>
          </w:tcPr>
          <w:p w:rsidR="0014098A" w:rsidRPr="0014098A" w:rsidRDefault="0014098A"/>
        </w:tc>
        <w:tc>
          <w:tcPr>
            <w:tcW w:w="1060" w:type="dxa"/>
            <w:noWrap/>
            <w:hideMark/>
          </w:tcPr>
          <w:p w:rsidR="0014098A" w:rsidRPr="0014098A" w:rsidRDefault="0014098A"/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>
            <w:r w:rsidRPr="0014098A">
              <w:t>Sept. 2018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>
            <w:r w:rsidRPr="0014098A">
              <w:t>Feb. 2019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>
            <w:r w:rsidRPr="0014098A">
              <w:t>Maj. 2019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Sept. 2019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Nov. 2019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>
            <w:r w:rsidRPr="0014098A">
              <w:t>Feb. 2020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Sept. 2018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Feb. 2019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Maj. 2019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Sept. 2019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Nov. 2019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Feb. 2020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Afbrudt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12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8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8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8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3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0,6%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0,4%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0,4%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0,4%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0,1%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0,2%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I Vejledning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14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9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2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8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10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9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0,7%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0,5%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0,1%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0,4%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0,5%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0,5%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Fremtidig aktivitet aftalt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10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10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6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11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10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13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0,5%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0,5%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0,3%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0,6%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0,5%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0,7%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I gang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1979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1976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1978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1889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1900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1877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98,4%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98,5%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99,1%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98,2%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98,7%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98,5%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Ukendt aktivitet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3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2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8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4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3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0,0%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0,1%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0,1%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0,4%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0,2%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0,2%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I alt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2012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2006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1996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1924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1925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1905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100,2%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100,0%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100,0%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100,0%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100,0%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100,0%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>
            <w:r w:rsidRPr="0014098A">
              <w:t> </w:t>
            </w:r>
          </w:p>
        </w:tc>
      </w:tr>
      <w:tr w:rsidR="0014098A" w:rsidRPr="0014098A" w:rsidTr="0014098A">
        <w:trPr>
          <w:trHeight w:val="276"/>
        </w:trPr>
        <w:tc>
          <w:tcPr>
            <w:tcW w:w="2360" w:type="dxa"/>
            <w:noWrap/>
            <w:hideMark/>
          </w:tcPr>
          <w:p w:rsidR="0014098A" w:rsidRPr="0014098A" w:rsidRDefault="0014098A">
            <w:r w:rsidRPr="0014098A">
              <w:t>Andel i gang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1989</w:t>
            </w:r>
          </w:p>
        </w:tc>
        <w:tc>
          <w:tcPr>
            <w:tcW w:w="1080" w:type="dxa"/>
            <w:noWrap/>
            <w:hideMark/>
          </w:tcPr>
          <w:p w:rsidR="0014098A" w:rsidRPr="0014098A" w:rsidRDefault="0014098A" w:rsidP="0014098A">
            <w:r w:rsidRPr="0014098A">
              <w:t>1986</w:t>
            </w:r>
          </w:p>
        </w:tc>
        <w:tc>
          <w:tcPr>
            <w:tcW w:w="1160" w:type="dxa"/>
            <w:noWrap/>
            <w:hideMark/>
          </w:tcPr>
          <w:p w:rsidR="0014098A" w:rsidRPr="0014098A" w:rsidRDefault="0014098A" w:rsidP="0014098A">
            <w:r w:rsidRPr="0014098A">
              <w:t>1984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1900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1910</w:t>
            </w:r>
          </w:p>
        </w:tc>
        <w:tc>
          <w:tcPr>
            <w:tcW w:w="1040" w:type="dxa"/>
            <w:noWrap/>
            <w:hideMark/>
          </w:tcPr>
          <w:p w:rsidR="0014098A" w:rsidRPr="0014098A" w:rsidRDefault="0014098A" w:rsidP="0014098A">
            <w:r w:rsidRPr="0014098A">
              <w:t>1890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98,9%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99,0%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99,4%</w:t>
            </w:r>
          </w:p>
        </w:tc>
        <w:tc>
          <w:tcPr>
            <w:tcW w:w="1095" w:type="dxa"/>
            <w:noWrap/>
            <w:hideMark/>
          </w:tcPr>
          <w:p w:rsidR="0014098A" w:rsidRPr="0014098A" w:rsidRDefault="0014098A" w:rsidP="0014098A">
            <w:r w:rsidRPr="0014098A">
              <w:t>98,8%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99,2%</w:t>
            </w:r>
          </w:p>
        </w:tc>
        <w:tc>
          <w:tcPr>
            <w:tcW w:w="1060" w:type="dxa"/>
            <w:noWrap/>
            <w:hideMark/>
          </w:tcPr>
          <w:p w:rsidR="0014098A" w:rsidRPr="0014098A" w:rsidRDefault="0014098A" w:rsidP="0014098A">
            <w:r w:rsidRPr="0014098A">
              <w:t>99,2%</w:t>
            </w:r>
          </w:p>
        </w:tc>
      </w:tr>
    </w:tbl>
    <w:p w:rsidR="0014098A" w:rsidRDefault="0014098A" w:rsidP="00D70EEE"/>
    <w:p w:rsidR="0014098A" w:rsidRPr="00DB3D08" w:rsidRDefault="0014098A" w:rsidP="00D70EEE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F6BF3B6" wp14:editId="0FFBF657">
            <wp:extent cx="7947660" cy="2255520"/>
            <wp:effectExtent l="0" t="0" r="1524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4098A" w:rsidRPr="00DB3D08" w:rsidSect="00DB3D08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00" w:rsidRDefault="00D03700" w:rsidP="006264AF">
      <w:pPr>
        <w:spacing w:after="0" w:line="240" w:lineRule="auto"/>
      </w:pPr>
      <w:r>
        <w:separator/>
      </w:r>
    </w:p>
  </w:endnote>
  <w:endnote w:type="continuationSeparator" w:id="0">
    <w:p w:rsidR="00D03700" w:rsidRDefault="00D03700" w:rsidP="0062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AF" w:rsidRDefault="006264AF" w:rsidP="006264AF">
    <w:pPr>
      <w:pStyle w:val="Sidefod"/>
      <w:jc w:val="right"/>
    </w:pPr>
    <w:r>
      <w:rPr>
        <w:noProof/>
        <w:lang w:eastAsia="da-DK"/>
      </w:rPr>
      <w:drawing>
        <wp:inline distT="0" distB="0" distL="0" distR="0" wp14:anchorId="20999711">
          <wp:extent cx="737870" cy="835025"/>
          <wp:effectExtent l="0" t="0" r="5080" b="317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00" w:rsidRDefault="00D03700" w:rsidP="006264AF">
      <w:pPr>
        <w:spacing w:after="0" w:line="240" w:lineRule="auto"/>
      </w:pPr>
      <w:r>
        <w:separator/>
      </w:r>
    </w:p>
  </w:footnote>
  <w:footnote w:type="continuationSeparator" w:id="0">
    <w:p w:rsidR="00D03700" w:rsidRDefault="00D03700" w:rsidP="0062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8"/>
    <w:rsid w:val="0014098A"/>
    <w:rsid w:val="005413D1"/>
    <w:rsid w:val="005A2E5A"/>
    <w:rsid w:val="006264AF"/>
    <w:rsid w:val="00811048"/>
    <w:rsid w:val="00CF3CC0"/>
    <w:rsid w:val="00D03700"/>
    <w:rsid w:val="00D70EEE"/>
    <w:rsid w:val="00DB3D08"/>
    <w:rsid w:val="00DC3BEE"/>
    <w:rsid w:val="00EC1127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02FD"/>
  <w15:chartTrackingRefBased/>
  <w15:docId w15:val="{4A33E4E5-DB0A-47EE-BF35-A422A49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4AF"/>
  </w:style>
  <w:style w:type="paragraph" w:styleId="Sidefod">
    <w:name w:val="footer"/>
    <w:basedOn w:val="Normal"/>
    <w:link w:val="SidefodTegn"/>
    <w:uiPriority w:val="99"/>
    <w:unhideWhenUsed/>
    <w:rsid w:val="0062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4AF"/>
  </w:style>
  <w:style w:type="table" w:styleId="Tabel-Gitter">
    <w:name w:val="Table Grid"/>
    <w:basedOn w:val="Tabel-Normal"/>
    <w:uiPriority w:val="39"/>
    <w:rsid w:val="0014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regneark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15-</a:t>
            </a:r>
            <a:r>
              <a:rPr lang="en-US" baseline="0"/>
              <a:t> 17 årige Februar 2020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'Ark2'!$J$73:$O$73</c:f>
              <c:strCache>
                <c:ptCount val="6"/>
                <c:pt idx="0">
                  <c:v>Sept. 2018</c:v>
                </c:pt>
                <c:pt idx="1">
                  <c:v>Feb. 2019</c:v>
                </c:pt>
                <c:pt idx="2">
                  <c:v>Maj. 2019</c:v>
                </c:pt>
                <c:pt idx="3">
                  <c:v>Sept. 2019</c:v>
                </c:pt>
                <c:pt idx="4">
                  <c:v>Nov. 2019</c:v>
                </c:pt>
                <c:pt idx="5">
                  <c:v>Feb. 2020</c:v>
                </c:pt>
              </c:strCache>
            </c:strRef>
          </c:cat>
          <c:val>
            <c:numRef>
              <c:f>'Ark2'!$J$81:$O$81</c:f>
              <c:numCache>
                <c:formatCode>0.0%</c:formatCode>
                <c:ptCount val="6"/>
                <c:pt idx="0">
                  <c:v>0.98856858846918494</c:v>
                </c:pt>
                <c:pt idx="1">
                  <c:v>0.9900299102691924</c:v>
                </c:pt>
                <c:pt idx="2">
                  <c:v>0.9939879759519038</c:v>
                </c:pt>
                <c:pt idx="3">
                  <c:v>0.98752598752598753</c:v>
                </c:pt>
                <c:pt idx="4">
                  <c:v>0.99220779220779221</c:v>
                </c:pt>
                <c:pt idx="5">
                  <c:v>0.99212598425196852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0-486F-A4AA-E58493F59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724928"/>
        <c:axId val="502725912"/>
      </c:lineChart>
      <c:catAx>
        <c:axId val="5027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2725912"/>
        <c:crosses val="autoZero"/>
        <c:auto val="1"/>
        <c:lblAlgn val="ctr"/>
        <c:lblOffset val="100"/>
        <c:noMultiLvlLbl val="0"/>
      </c:catAx>
      <c:valAx>
        <c:axId val="50272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272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ont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Thomsen</dc:creator>
  <cp:keywords/>
  <dc:description/>
  <cp:lastModifiedBy>Niels Thomsen</cp:lastModifiedBy>
  <cp:revision>4</cp:revision>
  <dcterms:created xsi:type="dcterms:W3CDTF">2020-01-06T10:10:00Z</dcterms:created>
  <dcterms:modified xsi:type="dcterms:W3CDTF">2020-02-03T11:18:00Z</dcterms:modified>
</cp:coreProperties>
</file>